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8B0A" w14:textId="77777777" w:rsidR="009A65DD" w:rsidRPr="009A65DD" w:rsidRDefault="006124BA" w:rsidP="003D7132">
      <w:pPr>
        <w:jc w:val="center"/>
        <w:rPr>
          <w:rFonts w:ascii="Calibri" w:hAnsi="Calibri" w:cs="Calibri"/>
          <w:b/>
          <w:bCs/>
          <w:color w:val="4C94D8" w:themeColor="text2" w:themeTint="80"/>
          <w:sz w:val="32"/>
          <w:szCs w:val="32"/>
          <w:u w:val="single"/>
        </w:rPr>
      </w:pPr>
      <w:r w:rsidRPr="009A65DD">
        <w:rPr>
          <w:rFonts w:ascii="Calibri" w:hAnsi="Calibri" w:cs="Calibri"/>
          <w:b/>
          <w:bCs/>
          <w:color w:val="4C94D8" w:themeColor="text2" w:themeTint="80"/>
          <w:sz w:val="32"/>
          <w:szCs w:val="32"/>
          <w:u w:val="single"/>
        </w:rPr>
        <w:t xml:space="preserve">Chapter 149 </w:t>
      </w:r>
    </w:p>
    <w:p w14:paraId="49B2EDC1" w14:textId="44D434C7" w:rsidR="006124BA" w:rsidRPr="009A65DD" w:rsidRDefault="006124BA" w:rsidP="003D7132">
      <w:pPr>
        <w:jc w:val="center"/>
        <w:rPr>
          <w:rFonts w:ascii="Calibri" w:hAnsi="Calibri" w:cs="Calibri"/>
          <w:b/>
          <w:bCs/>
          <w:color w:val="4C94D8" w:themeColor="text2" w:themeTint="80"/>
          <w:sz w:val="32"/>
          <w:szCs w:val="32"/>
          <w:u w:val="single"/>
        </w:rPr>
      </w:pPr>
      <w:r w:rsidRPr="009A65DD">
        <w:rPr>
          <w:rFonts w:ascii="Calibri" w:hAnsi="Calibri" w:cs="Calibri"/>
          <w:b/>
          <w:bCs/>
          <w:color w:val="4C94D8" w:themeColor="text2" w:themeTint="80"/>
          <w:sz w:val="32"/>
          <w:szCs w:val="32"/>
          <w:u w:val="single"/>
        </w:rPr>
        <w:t>General Permit for Non-Met</w:t>
      </w:r>
      <w:r w:rsidR="003D7132" w:rsidRPr="009A65DD">
        <w:rPr>
          <w:rFonts w:ascii="Calibri" w:hAnsi="Calibri" w:cs="Calibri"/>
          <w:b/>
          <w:bCs/>
          <w:color w:val="4C94D8" w:themeColor="text2" w:themeTint="80"/>
          <w:sz w:val="32"/>
          <w:szCs w:val="32"/>
          <w:u w:val="single"/>
        </w:rPr>
        <w:t>allic Mineral Processing Plants</w:t>
      </w:r>
    </w:p>
    <w:p w14:paraId="7057EB8A" w14:textId="77777777" w:rsidR="003D7132" w:rsidRPr="009A65DD" w:rsidRDefault="003D7132" w:rsidP="003D7132">
      <w:pPr>
        <w:jc w:val="center"/>
        <w:rPr>
          <w:rFonts w:ascii="Calibri" w:hAnsi="Calibri" w:cs="Calibri"/>
          <w:b/>
          <w:bCs/>
          <w:color w:val="4C94D8" w:themeColor="text2" w:themeTint="80"/>
          <w:sz w:val="32"/>
          <w:szCs w:val="32"/>
          <w:u w:val="single"/>
        </w:rPr>
      </w:pPr>
      <w:r w:rsidRPr="009A65DD">
        <w:rPr>
          <w:rFonts w:ascii="Calibri" w:hAnsi="Calibri" w:cs="Calibri"/>
          <w:b/>
          <w:bCs/>
          <w:color w:val="4C94D8" w:themeColor="text2" w:themeTint="80"/>
          <w:sz w:val="32"/>
          <w:szCs w:val="32"/>
          <w:u w:val="single"/>
        </w:rPr>
        <w:t>Frequently Asked Questions</w:t>
      </w:r>
    </w:p>
    <w:p w14:paraId="64AE3C3B" w14:textId="77777777" w:rsidR="00237D7A" w:rsidRPr="009A65DD" w:rsidRDefault="00237D7A" w:rsidP="004A021B">
      <w:pPr>
        <w:jc w:val="both"/>
        <w:rPr>
          <w:rFonts w:ascii="Calibri" w:hAnsi="Calibri" w:cs="Calibri"/>
        </w:rPr>
      </w:pPr>
    </w:p>
    <w:p w14:paraId="0B499840" w14:textId="77777777" w:rsidR="004A021B" w:rsidRPr="009A65DD" w:rsidRDefault="004A021B" w:rsidP="009A65DD">
      <w:pPr>
        <w:pStyle w:val="Heading1"/>
      </w:pPr>
      <w:r w:rsidRPr="009A65DD">
        <w:t>What is Chapter 149?</w:t>
      </w:r>
    </w:p>
    <w:p w14:paraId="225980AB" w14:textId="2E8FCADA" w:rsidR="00426588" w:rsidRPr="009A65DD" w:rsidRDefault="00426588" w:rsidP="00426588">
      <w:pPr>
        <w:jc w:val="both"/>
        <w:rPr>
          <w:rFonts w:ascii="Calibri" w:hAnsi="Calibri" w:cs="Calibri"/>
        </w:rPr>
      </w:pPr>
      <w:r w:rsidRPr="009A65DD">
        <w:rPr>
          <w:rFonts w:ascii="Calibri" w:hAnsi="Calibri" w:cs="Calibri"/>
        </w:rPr>
        <w:t>MEDEP Chapter 149 (06-096 C.M.R. ch. 149) is a rule outlining the requirements for obtaining and maintaining a general permit to operate a non-metallic mineral processing plant</w:t>
      </w:r>
      <w:r>
        <w:rPr>
          <w:rFonts w:ascii="Calibri" w:hAnsi="Calibri" w:cs="Calibri"/>
        </w:rPr>
        <w:t xml:space="preserve"> (NMMPP)</w:t>
      </w:r>
      <w:r w:rsidRPr="009A65DD">
        <w:rPr>
          <w:rFonts w:ascii="Calibri" w:hAnsi="Calibri" w:cs="Calibri"/>
        </w:rPr>
        <w:t xml:space="preserve">. Owners/Operators of rock crushers </w:t>
      </w:r>
      <w:r>
        <w:rPr>
          <w:rFonts w:ascii="Calibri" w:hAnsi="Calibri" w:cs="Calibri"/>
        </w:rPr>
        <w:t xml:space="preserve">that meet the applicability criteria under Chapter 149 </w:t>
      </w:r>
      <w:r w:rsidRPr="009A65DD">
        <w:rPr>
          <w:rFonts w:ascii="Calibri" w:hAnsi="Calibri" w:cs="Calibri"/>
        </w:rPr>
        <w:t xml:space="preserve">may obtain a general permit </w:t>
      </w:r>
      <w:r>
        <w:rPr>
          <w:rFonts w:ascii="Calibri" w:hAnsi="Calibri" w:cs="Calibri"/>
        </w:rPr>
        <w:t xml:space="preserve">for each rock crusher </w:t>
      </w:r>
      <w:r w:rsidRPr="009A65DD">
        <w:rPr>
          <w:rFonts w:ascii="Calibri" w:hAnsi="Calibri" w:cs="Calibri"/>
        </w:rPr>
        <w:t>in lieu of applying for a traditional air emission license per Maine Department of Environmental Protection (MEDEP) Chapter 115.</w:t>
      </w:r>
    </w:p>
    <w:p w14:paraId="247E26F7" w14:textId="77777777" w:rsidR="00087477" w:rsidRPr="009A65DD" w:rsidRDefault="00087477" w:rsidP="004A021B">
      <w:pPr>
        <w:jc w:val="both"/>
        <w:rPr>
          <w:rFonts w:ascii="Calibri" w:hAnsi="Calibri" w:cs="Calibri"/>
        </w:rPr>
      </w:pPr>
    </w:p>
    <w:p w14:paraId="16A99BB0" w14:textId="77777777" w:rsidR="00087477" w:rsidRPr="009A65DD" w:rsidRDefault="00087477" w:rsidP="009A65DD">
      <w:pPr>
        <w:pStyle w:val="Heading1"/>
      </w:pPr>
      <w:r w:rsidRPr="009A65DD">
        <w:t>Where can I get a copy of Chapter 149?</w:t>
      </w:r>
    </w:p>
    <w:p w14:paraId="6E555BAF" w14:textId="6B40210A" w:rsidR="00087477" w:rsidRPr="009A65DD" w:rsidRDefault="00087477" w:rsidP="004A021B">
      <w:pPr>
        <w:jc w:val="both"/>
        <w:rPr>
          <w:rFonts w:ascii="Calibri" w:hAnsi="Calibri" w:cs="Calibri"/>
        </w:rPr>
      </w:pPr>
      <w:r w:rsidRPr="009A65DD">
        <w:rPr>
          <w:rFonts w:ascii="Calibri" w:hAnsi="Calibri" w:cs="Calibri"/>
        </w:rPr>
        <w:t xml:space="preserve">A copy of the rule, as well as all </w:t>
      </w:r>
      <w:r w:rsidR="001B1C5C">
        <w:rPr>
          <w:rFonts w:ascii="Calibri" w:hAnsi="Calibri" w:cs="Calibri"/>
        </w:rPr>
        <w:t>registration</w:t>
      </w:r>
      <w:r w:rsidRPr="009A65DD">
        <w:rPr>
          <w:rFonts w:ascii="Calibri" w:hAnsi="Calibri" w:cs="Calibri"/>
        </w:rPr>
        <w:t xml:space="preserve"> forms and instructions, can be found online </w:t>
      </w:r>
      <w:r w:rsidR="00705A97">
        <w:rPr>
          <w:rFonts w:ascii="Calibri" w:hAnsi="Calibri" w:cs="Calibri"/>
        </w:rPr>
        <w:t xml:space="preserve">on our </w:t>
      </w:r>
      <w:hyperlink r:id="rId7" w:history="1">
        <w:r w:rsidR="00705A97" w:rsidRPr="00705A97">
          <w:rPr>
            <w:rStyle w:val="Hyperlink"/>
            <w:rFonts w:ascii="Calibri" w:hAnsi="Calibri" w:cs="Calibri"/>
          </w:rPr>
          <w:t xml:space="preserve">webpage for </w:t>
        </w:r>
        <w:proofErr w:type="spellStart"/>
        <w:r w:rsidR="00705A97" w:rsidRPr="00705A97">
          <w:rPr>
            <w:rStyle w:val="Hyperlink"/>
            <w:rFonts w:ascii="Calibri" w:hAnsi="Calibri" w:cs="Calibri"/>
          </w:rPr>
          <w:t>NonMetallic</w:t>
        </w:r>
        <w:proofErr w:type="spellEnd"/>
        <w:r w:rsidR="00705A97" w:rsidRPr="00705A97">
          <w:rPr>
            <w:rStyle w:val="Hyperlink"/>
            <w:rFonts w:ascii="Calibri" w:hAnsi="Calibri" w:cs="Calibri"/>
          </w:rPr>
          <w:t xml:space="preserve"> Mineral Processing Plants (Rock Crushers)</w:t>
        </w:r>
      </w:hyperlink>
      <w:r w:rsidR="00705A97">
        <w:rPr>
          <w:rFonts w:ascii="Calibri" w:hAnsi="Calibri" w:cs="Calibri"/>
        </w:rPr>
        <w:t>.</w:t>
      </w:r>
    </w:p>
    <w:p w14:paraId="5BAB3A77" w14:textId="77777777" w:rsidR="004A021B" w:rsidRPr="009A65DD" w:rsidRDefault="004A021B" w:rsidP="004A021B">
      <w:pPr>
        <w:jc w:val="both"/>
        <w:rPr>
          <w:rFonts w:ascii="Calibri" w:hAnsi="Calibri" w:cs="Calibri"/>
        </w:rPr>
      </w:pPr>
    </w:p>
    <w:p w14:paraId="52EEC4AA" w14:textId="77777777" w:rsidR="004A021B" w:rsidRPr="009A65DD" w:rsidRDefault="004A021B" w:rsidP="009A65DD">
      <w:pPr>
        <w:pStyle w:val="Heading1"/>
      </w:pPr>
      <w:r w:rsidRPr="009A65DD">
        <w:t>Who can apply for a general permit under Chapter 149?</w:t>
      </w:r>
    </w:p>
    <w:p w14:paraId="4D96D07A" w14:textId="77777777" w:rsidR="00426588" w:rsidRPr="009A65DD" w:rsidRDefault="00426588" w:rsidP="00426588">
      <w:pPr>
        <w:jc w:val="both"/>
        <w:rPr>
          <w:rFonts w:ascii="Calibri" w:hAnsi="Calibri" w:cs="Calibri"/>
        </w:rPr>
      </w:pPr>
      <w:r w:rsidRPr="009A65DD">
        <w:rPr>
          <w:rFonts w:ascii="Calibri" w:hAnsi="Calibri" w:cs="Calibri"/>
        </w:rPr>
        <w:t>Owners/Operators can apply for a general permit if they meet all of the following criteria:</w:t>
      </w:r>
    </w:p>
    <w:p w14:paraId="2DC8AC77" w14:textId="77777777" w:rsidR="00426588" w:rsidRPr="009A65DD" w:rsidRDefault="00426588" w:rsidP="00426588">
      <w:pPr>
        <w:jc w:val="both"/>
        <w:rPr>
          <w:rFonts w:ascii="Calibri" w:hAnsi="Calibri" w:cs="Calibri"/>
        </w:rPr>
      </w:pPr>
    </w:p>
    <w:p w14:paraId="068D2A66" w14:textId="3B3F193B" w:rsidR="00426588" w:rsidRPr="009A65DD" w:rsidRDefault="00426588" w:rsidP="00426588">
      <w:pPr>
        <w:numPr>
          <w:ilvl w:val="0"/>
          <w:numId w:val="1"/>
        </w:numPr>
        <w:jc w:val="both"/>
        <w:rPr>
          <w:rFonts w:ascii="Calibri" w:hAnsi="Calibri" w:cs="Calibri"/>
        </w:rPr>
      </w:pPr>
      <w:r w:rsidRPr="009A65DD">
        <w:rPr>
          <w:rFonts w:ascii="Calibri" w:hAnsi="Calibri" w:cs="Calibri"/>
        </w:rPr>
        <w:t>Any engine or generator set that powers any part of the</w:t>
      </w:r>
      <w:r>
        <w:rPr>
          <w:rFonts w:ascii="Calibri" w:hAnsi="Calibri" w:cs="Calibri"/>
        </w:rPr>
        <w:t xml:space="preserve"> </w:t>
      </w:r>
      <w:r w:rsidRPr="009A65DD">
        <w:rPr>
          <w:rFonts w:ascii="Calibri" w:hAnsi="Calibri" w:cs="Calibri"/>
        </w:rPr>
        <w:t xml:space="preserve"> NMMPP (including rock crushers, grinding mills, screening operations, or conveyors) meet</w:t>
      </w:r>
      <w:r>
        <w:rPr>
          <w:rFonts w:ascii="Calibri" w:hAnsi="Calibri" w:cs="Calibri"/>
        </w:rPr>
        <w:t>s</w:t>
      </w:r>
      <w:r w:rsidRPr="009A65DD">
        <w:rPr>
          <w:rFonts w:ascii="Calibri" w:hAnsi="Calibri" w:cs="Calibri"/>
        </w:rPr>
        <w:t xml:space="preserve"> the definition of nonroad engine; and </w:t>
      </w:r>
    </w:p>
    <w:p w14:paraId="70A0445F" w14:textId="77777777" w:rsidR="00426588" w:rsidRPr="009A65DD" w:rsidRDefault="00426588" w:rsidP="00426588">
      <w:pPr>
        <w:numPr>
          <w:ilvl w:val="0"/>
          <w:numId w:val="1"/>
        </w:numPr>
        <w:jc w:val="both"/>
        <w:rPr>
          <w:rFonts w:ascii="Calibri" w:hAnsi="Calibri" w:cs="Calibri"/>
        </w:rPr>
      </w:pPr>
      <w:r w:rsidRPr="009A65DD">
        <w:rPr>
          <w:rFonts w:ascii="Calibri" w:hAnsi="Calibri" w:cs="Calibri"/>
          <w:szCs w:val="22"/>
        </w:rPr>
        <w:t>Emissions from the rock crusher are controlled by water sprays or carryover from up-stream water sprays; and</w:t>
      </w:r>
    </w:p>
    <w:p w14:paraId="4F6BEEFD" w14:textId="77777777" w:rsidR="00426588" w:rsidRPr="009A65DD" w:rsidRDefault="00426588" w:rsidP="00426588">
      <w:pPr>
        <w:numPr>
          <w:ilvl w:val="0"/>
          <w:numId w:val="1"/>
        </w:numPr>
        <w:jc w:val="both"/>
        <w:rPr>
          <w:rFonts w:ascii="Calibri" w:hAnsi="Calibri" w:cs="Calibri"/>
        </w:rPr>
      </w:pPr>
      <w:r w:rsidRPr="009A65DD">
        <w:rPr>
          <w:rFonts w:ascii="Calibri" w:hAnsi="Calibri" w:cs="Calibri"/>
          <w:szCs w:val="22"/>
        </w:rPr>
        <w:t>The Owner and/or Operator of the rock crusher does not owe any past-due fees to the Department from previous air-related licenses, permits, or consent agreements.</w:t>
      </w:r>
    </w:p>
    <w:p w14:paraId="4A70016E" w14:textId="77777777" w:rsidR="008D0008" w:rsidRPr="009A65DD" w:rsidRDefault="008D0008" w:rsidP="008D0008">
      <w:pPr>
        <w:jc w:val="both"/>
        <w:rPr>
          <w:rFonts w:ascii="Calibri" w:hAnsi="Calibri" w:cs="Calibri"/>
          <w:szCs w:val="22"/>
        </w:rPr>
      </w:pPr>
    </w:p>
    <w:p w14:paraId="6A2FDB81" w14:textId="3AD6672C" w:rsidR="006258E6" w:rsidRPr="009A65DD" w:rsidRDefault="006258E6" w:rsidP="001B1C5C">
      <w:pPr>
        <w:pStyle w:val="Heading1"/>
      </w:pPr>
      <w:r w:rsidRPr="009A65DD">
        <w:t>What are the criteria for a</w:t>
      </w:r>
      <w:r w:rsidR="001B1C5C">
        <w:t>n</w:t>
      </w:r>
      <w:r w:rsidRPr="009A65DD">
        <w:t xml:space="preserve"> engine or generator set to be considered a nonroad engine?</w:t>
      </w:r>
    </w:p>
    <w:p w14:paraId="7B087A98" w14:textId="77777777" w:rsidR="00A357BE" w:rsidRPr="009A65DD" w:rsidRDefault="006258E6" w:rsidP="001B1C5C">
      <w:pPr>
        <w:jc w:val="both"/>
        <w:rPr>
          <w:rFonts w:ascii="Calibri" w:hAnsi="Calibri" w:cs="Calibri"/>
          <w:bCs/>
          <w:szCs w:val="22"/>
        </w:rPr>
      </w:pPr>
      <w:r w:rsidRPr="009A65DD">
        <w:rPr>
          <w:rFonts w:ascii="Calibri" w:hAnsi="Calibri" w:cs="Calibri"/>
          <w:bCs/>
          <w:szCs w:val="22"/>
        </w:rPr>
        <w:t xml:space="preserve">The engine that powers the rock crusher </w:t>
      </w:r>
      <w:r w:rsidR="00A357BE" w:rsidRPr="009A65DD">
        <w:rPr>
          <w:rFonts w:ascii="Calibri" w:hAnsi="Calibri" w:cs="Calibri"/>
          <w:bCs/>
          <w:szCs w:val="22"/>
        </w:rPr>
        <w:t xml:space="preserve">or any associated equipment must meet the definition of nonroad engine. </w:t>
      </w:r>
    </w:p>
    <w:p w14:paraId="6FA8FC8F" w14:textId="0D9A7F0B" w:rsidR="00A357BE" w:rsidRPr="009A65DD" w:rsidRDefault="00A357BE" w:rsidP="001B1C5C">
      <w:pPr>
        <w:ind w:hanging="90"/>
        <w:jc w:val="both"/>
        <w:rPr>
          <w:rFonts w:ascii="Calibri" w:hAnsi="Calibri" w:cs="Calibri"/>
        </w:rPr>
      </w:pPr>
      <w:r w:rsidRPr="009A65DD">
        <w:rPr>
          <w:rFonts w:ascii="Calibri" w:hAnsi="Calibri" w:cs="Calibri"/>
          <w:bCs/>
          <w:szCs w:val="22"/>
        </w:rPr>
        <w:t>“</w:t>
      </w:r>
      <w:r w:rsidRPr="009A65DD">
        <w:rPr>
          <w:rFonts w:ascii="Calibri" w:hAnsi="Calibri" w:cs="Calibri"/>
        </w:rPr>
        <w:t xml:space="preserve">Nonroad engine” means </w:t>
      </w:r>
      <w:bookmarkStart w:id="0" w:name="_Hlk196301514"/>
      <w:r w:rsidRPr="009A65DD">
        <w:rPr>
          <w:rFonts w:ascii="Calibri" w:hAnsi="Calibri" w:cs="Calibri"/>
        </w:rPr>
        <w:t>an internal combustion engine that meets any of the following criteria</w:t>
      </w:r>
      <w:bookmarkEnd w:id="0"/>
      <w:r w:rsidRPr="009A65DD">
        <w:rPr>
          <w:rFonts w:ascii="Calibri" w:hAnsi="Calibri" w:cs="Calibri"/>
        </w:rPr>
        <w:t>:</w:t>
      </w:r>
    </w:p>
    <w:p w14:paraId="40EDF9ED" w14:textId="77777777" w:rsidR="00A357BE" w:rsidRPr="009A65DD" w:rsidRDefault="00A357BE" w:rsidP="001B1C5C">
      <w:pPr>
        <w:pStyle w:val="ListParagraph"/>
        <w:jc w:val="both"/>
        <w:rPr>
          <w:rFonts w:ascii="Calibri" w:hAnsi="Calibri" w:cs="Calibri"/>
          <w:szCs w:val="24"/>
        </w:rPr>
      </w:pPr>
    </w:p>
    <w:p w14:paraId="0499DC3B" w14:textId="77777777" w:rsidR="00A357BE" w:rsidRPr="009A65DD" w:rsidRDefault="00A357BE" w:rsidP="001B1C5C">
      <w:pPr>
        <w:numPr>
          <w:ilvl w:val="0"/>
          <w:numId w:val="37"/>
        </w:numPr>
        <w:spacing w:line="240" w:lineRule="atLeast"/>
        <w:ind w:left="360"/>
        <w:jc w:val="both"/>
        <w:rPr>
          <w:rFonts w:ascii="Calibri" w:hAnsi="Calibri" w:cs="Calibri"/>
        </w:rPr>
      </w:pPr>
      <w:bookmarkStart w:id="1" w:name="_Hlk196301595"/>
      <w:bookmarkStart w:id="2" w:name="_Hlk196301525"/>
      <w:r w:rsidRPr="009A65DD">
        <w:rPr>
          <w:rFonts w:ascii="Calibri" w:hAnsi="Calibri" w:cs="Calibri"/>
        </w:rPr>
        <w:t>It is (or will be) used in or on a piece of equipment that is self-propelled or serves a dual purpose by both propelling itself and performing another function</w:t>
      </w:r>
      <w:bookmarkEnd w:id="1"/>
      <w:r w:rsidRPr="009A65DD">
        <w:rPr>
          <w:rFonts w:ascii="Calibri" w:hAnsi="Calibri" w:cs="Calibri"/>
        </w:rPr>
        <w:t>.</w:t>
      </w:r>
    </w:p>
    <w:bookmarkEnd w:id="2"/>
    <w:p w14:paraId="1DA282D3" w14:textId="77777777" w:rsidR="00A357BE" w:rsidRPr="009A65DD" w:rsidRDefault="00A357BE" w:rsidP="001B1C5C">
      <w:pPr>
        <w:spacing w:line="240" w:lineRule="atLeast"/>
        <w:ind w:left="360"/>
        <w:jc w:val="both"/>
        <w:rPr>
          <w:rFonts w:ascii="Calibri" w:hAnsi="Calibri" w:cs="Calibri"/>
        </w:rPr>
      </w:pPr>
    </w:p>
    <w:p w14:paraId="7E81A5C0" w14:textId="77777777" w:rsidR="00A357BE" w:rsidRPr="009A65DD" w:rsidRDefault="00A357BE" w:rsidP="001B1C5C">
      <w:pPr>
        <w:numPr>
          <w:ilvl w:val="0"/>
          <w:numId w:val="37"/>
        </w:numPr>
        <w:spacing w:line="240" w:lineRule="atLeast"/>
        <w:ind w:left="360"/>
        <w:jc w:val="both"/>
        <w:rPr>
          <w:rFonts w:ascii="Calibri" w:hAnsi="Calibri" w:cs="Calibri"/>
        </w:rPr>
      </w:pPr>
      <w:bookmarkStart w:id="3" w:name="_Hlk196301606"/>
      <w:r w:rsidRPr="009A65DD">
        <w:rPr>
          <w:rFonts w:ascii="Calibri" w:hAnsi="Calibri" w:cs="Calibri"/>
        </w:rPr>
        <w:t>It is portable or transportable, meaning designed to be and capable of being carried or moved from one location to another. Indicia of transportability include, but are not limited to, wheels, skids, carrying handles, dolly, trailer, or platform. Engines that are portable or transportable do not include engines that remain or will remain at a location for more than 12 consecutive months or a shorter period of time for an engine located at a seasonal source. A location is any single site at a building, structure, facility, or installation. For any engine that replaces an engine at a location and that is intended to perform the same or similar function as the engine replaced, include the time period of both engines in calculating the consecutive time period</w:t>
      </w:r>
      <w:bookmarkEnd w:id="3"/>
      <w:r w:rsidRPr="009A65DD">
        <w:rPr>
          <w:rFonts w:ascii="Calibri" w:hAnsi="Calibri" w:cs="Calibri"/>
        </w:rPr>
        <w:t xml:space="preserve">. </w:t>
      </w:r>
      <w:r w:rsidRPr="009A65DD">
        <w:rPr>
          <w:rFonts w:ascii="Calibri" w:hAnsi="Calibri" w:cs="Calibri"/>
        </w:rPr>
        <w:br/>
      </w:r>
      <w:r w:rsidRPr="009A65DD">
        <w:rPr>
          <w:rFonts w:ascii="Calibri" w:hAnsi="Calibri" w:cs="Calibri"/>
        </w:rPr>
        <w:br/>
      </w:r>
      <w:bookmarkStart w:id="4" w:name="_Hlk196301614"/>
      <w:r w:rsidRPr="009A65DD">
        <w:rPr>
          <w:rFonts w:ascii="Calibri" w:hAnsi="Calibri" w:cs="Calibri"/>
        </w:rPr>
        <w:t>An engine located at a seasonal source is an engine that remains at a seasonal source during the full annual operating period of the seasonal source. A seasonal source is a stationary source that remains in a single location on a permanent basis (i.e., at least two years) and that operates at that single location approximately three months (or more) each year</w:t>
      </w:r>
      <w:bookmarkEnd w:id="4"/>
      <w:r w:rsidRPr="009A65DD">
        <w:rPr>
          <w:rFonts w:ascii="Calibri" w:hAnsi="Calibri" w:cs="Calibri"/>
        </w:rPr>
        <w:t>.</w:t>
      </w:r>
    </w:p>
    <w:p w14:paraId="2D72969E" w14:textId="77777777" w:rsidR="00A357BE" w:rsidRPr="009A65DD" w:rsidRDefault="00A357BE" w:rsidP="001B1C5C">
      <w:pPr>
        <w:jc w:val="both"/>
        <w:rPr>
          <w:rFonts w:ascii="Calibri" w:hAnsi="Calibri" w:cs="Calibri"/>
          <w:bCs/>
          <w:szCs w:val="22"/>
        </w:rPr>
      </w:pPr>
    </w:p>
    <w:p w14:paraId="5A9420F0" w14:textId="73365E46" w:rsidR="00A357BE" w:rsidRPr="009A65DD" w:rsidRDefault="00A357BE" w:rsidP="001B1C5C">
      <w:pPr>
        <w:jc w:val="both"/>
        <w:rPr>
          <w:rFonts w:ascii="Calibri" w:hAnsi="Calibri" w:cs="Calibri"/>
          <w:bCs/>
          <w:szCs w:val="22"/>
        </w:rPr>
      </w:pPr>
      <w:r w:rsidRPr="009A65DD">
        <w:rPr>
          <w:rFonts w:ascii="Calibri" w:hAnsi="Calibri" w:cs="Calibri"/>
          <w:bCs/>
          <w:szCs w:val="22"/>
        </w:rPr>
        <w:t>If you have any questions as to whether an engine meets this criteria, please contact the Department for assistance before applying for a general permit.</w:t>
      </w:r>
    </w:p>
    <w:p w14:paraId="33676D5C" w14:textId="77777777" w:rsidR="006258E6" w:rsidRPr="001B1C5C" w:rsidRDefault="006258E6" w:rsidP="008D0008">
      <w:pPr>
        <w:jc w:val="both"/>
        <w:rPr>
          <w:rFonts w:ascii="Calibri" w:hAnsi="Calibri" w:cs="Calibri"/>
          <w:bCs/>
          <w:szCs w:val="22"/>
        </w:rPr>
      </w:pPr>
    </w:p>
    <w:p w14:paraId="45F3C409" w14:textId="46A2AF67" w:rsidR="008D0008" w:rsidRPr="009A65DD" w:rsidRDefault="008D0008" w:rsidP="009A65DD">
      <w:pPr>
        <w:pStyle w:val="Heading1"/>
      </w:pPr>
      <w:r w:rsidRPr="009A65DD">
        <w:t>What if I am unable to meet the criteria to be eligible for a general permit?</w:t>
      </w:r>
    </w:p>
    <w:p w14:paraId="54C82EC5" w14:textId="77777777" w:rsidR="001B1C5C" w:rsidRPr="009A65DD" w:rsidRDefault="001B1C5C" w:rsidP="001B1C5C">
      <w:pPr>
        <w:jc w:val="both"/>
        <w:rPr>
          <w:rFonts w:ascii="Calibri" w:hAnsi="Calibri" w:cs="Calibri"/>
          <w:szCs w:val="22"/>
        </w:rPr>
      </w:pPr>
      <w:r>
        <w:rPr>
          <w:rFonts w:ascii="Calibri" w:hAnsi="Calibri" w:cs="Calibri"/>
          <w:szCs w:val="22"/>
        </w:rPr>
        <w:t>The owner/operator of any r</w:t>
      </w:r>
      <w:r w:rsidRPr="009A65DD">
        <w:rPr>
          <w:rFonts w:ascii="Calibri" w:hAnsi="Calibri" w:cs="Calibri"/>
          <w:szCs w:val="22"/>
        </w:rPr>
        <w:t xml:space="preserve">ock </w:t>
      </w:r>
      <w:r>
        <w:rPr>
          <w:rFonts w:ascii="Calibri" w:hAnsi="Calibri" w:cs="Calibri"/>
          <w:szCs w:val="22"/>
        </w:rPr>
        <w:t xml:space="preserve">crusher or </w:t>
      </w:r>
      <w:r w:rsidRPr="009A65DD">
        <w:rPr>
          <w:rFonts w:ascii="Calibri" w:hAnsi="Calibri" w:cs="Calibri"/>
          <w:szCs w:val="22"/>
        </w:rPr>
        <w:t xml:space="preserve">crushers </w:t>
      </w:r>
      <w:r>
        <w:rPr>
          <w:rFonts w:ascii="Calibri" w:hAnsi="Calibri" w:cs="Calibri"/>
          <w:szCs w:val="22"/>
        </w:rPr>
        <w:t>that</w:t>
      </w:r>
      <w:r w:rsidRPr="009A65DD">
        <w:rPr>
          <w:rFonts w:ascii="Calibri" w:hAnsi="Calibri" w:cs="Calibri"/>
          <w:szCs w:val="22"/>
        </w:rPr>
        <w:t xml:space="preserve"> do not meet the criteria listed above </w:t>
      </w:r>
      <w:r>
        <w:rPr>
          <w:rFonts w:ascii="Calibri" w:hAnsi="Calibri" w:cs="Calibri"/>
          <w:szCs w:val="22"/>
        </w:rPr>
        <w:t xml:space="preserve">is </w:t>
      </w:r>
      <w:r w:rsidRPr="009A65DD">
        <w:rPr>
          <w:rFonts w:ascii="Calibri" w:hAnsi="Calibri" w:cs="Calibri"/>
          <w:szCs w:val="22"/>
        </w:rPr>
        <w:t>required to obtain an air emission license per Chapter 115 of the Department’s rules. Please contact the Air</w:t>
      </w:r>
      <w:r>
        <w:rPr>
          <w:rFonts w:ascii="Calibri" w:hAnsi="Calibri" w:cs="Calibri"/>
          <w:szCs w:val="22"/>
        </w:rPr>
        <w:t xml:space="preserve"> </w:t>
      </w:r>
      <w:r w:rsidRPr="009A65DD">
        <w:rPr>
          <w:rFonts w:ascii="Calibri" w:hAnsi="Calibri" w:cs="Calibri"/>
          <w:szCs w:val="22"/>
        </w:rPr>
        <w:t xml:space="preserve">Licensing Section at (207) 287-7688 or </w:t>
      </w:r>
      <w:hyperlink r:id="rId8" w:history="1">
        <w:r w:rsidRPr="003120B3">
          <w:rPr>
            <w:rStyle w:val="Hyperlink"/>
            <w:rFonts w:ascii="Calibri" w:hAnsi="Calibri" w:cs="Calibri"/>
            <w:szCs w:val="22"/>
          </w:rPr>
          <w:t>DEP-Air-Licensing-Help@maine.gov</w:t>
        </w:r>
      </w:hyperlink>
      <w:r>
        <w:rPr>
          <w:rFonts w:ascii="Calibri" w:hAnsi="Calibri" w:cs="Calibri"/>
          <w:szCs w:val="22"/>
        </w:rPr>
        <w:t xml:space="preserve"> </w:t>
      </w:r>
      <w:r w:rsidRPr="009A65DD">
        <w:rPr>
          <w:rFonts w:ascii="Calibri" w:hAnsi="Calibri" w:cs="Calibri"/>
          <w:szCs w:val="22"/>
        </w:rPr>
        <w:t xml:space="preserve"> for information on how to apply for a Chapter 115 license.</w:t>
      </w:r>
    </w:p>
    <w:p w14:paraId="0926F03E" w14:textId="77777777" w:rsidR="00562212" w:rsidRPr="009A65DD" w:rsidRDefault="00562212" w:rsidP="008D0008">
      <w:pPr>
        <w:jc w:val="both"/>
        <w:rPr>
          <w:rFonts w:ascii="Calibri" w:hAnsi="Calibri" w:cs="Calibri"/>
          <w:szCs w:val="22"/>
        </w:rPr>
      </w:pPr>
    </w:p>
    <w:p w14:paraId="35DB41EE" w14:textId="77777777" w:rsidR="00562212" w:rsidRPr="009A65DD" w:rsidRDefault="00562212" w:rsidP="009A65DD">
      <w:pPr>
        <w:pStyle w:val="Heading1"/>
      </w:pPr>
      <w:r w:rsidRPr="009A65DD">
        <w:t>I currently have a Chapter 115 air emission license.</w:t>
      </w:r>
      <w:r w:rsidR="0086310F" w:rsidRPr="009A65DD">
        <w:t xml:space="preserve"> Do I have to obtain a Chapter </w:t>
      </w:r>
      <w:r w:rsidRPr="009A65DD">
        <w:t>149 general permit also?</w:t>
      </w:r>
    </w:p>
    <w:p w14:paraId="56709A55" w14:textId="77777777" w:rsidR="001B1C5C" w:rsidRPr="009A65DD" w:rsidRDefault="001B1C5C" w:rsidP="001B1C5C">
      <w:pPr>
        <w:jc w:val="both"/>
        <w:rPr>
          <w:rFonts w:ascii="Calibri" w:hAnsi="Calibri" w:cs="Calibri"/>
          <w:szCs w:val="22"/>
        </w:rPr>
      </w:pPr>
      <w:r w:rsidRPr="009A65DD">
        <w:rPr>
          <w:rFonts w:ascii="Calibri" w:hAnsi="Calibri" w:cs="Calibri"/>
          <w:szCs w:val="22"/>
        </w:rPr>
        <w:t>No. If you currently have a Chapter 115 air emission license, you are not required to also obtain a Chapter 149 general permit. You can continue to maintain your license as usual.  However, if you would like to operate under a general permit rather than a Chapter 115 air emission license, you may apply for a general permit at any time and subsequently surrender your Chapter 115 air emission license</w:t>
      </w:r>
      <w:r>
        <w:rPr>
          <w:rFonts w:ascii="Calibri" w:hAnsi="Calibri" w:cs="Calibri"/>
          <w:szCs w:val="22"/>
        </w:rPr>
        <w:t xml:space="preserve"> if there are no other emission units subject to Chapter 115 licensing</w:t>
      </w:r>
      <w:r w:rsidRPr="009A65DD">
        <w:rPr>
          <w:rFonts w:ascii="Calibri" w:hAnsi="Calibri" w:cs="Calibri"/>
          <w:szCs w:val="22"/>
        </w:rPr>
        <w:t>. Please contact a member of the Air Licensing Section for information on surrendering your Chapter 115 license.</w:t>
      </w:r>
    </w:p>
    <w:p w14:paraId="76B07788" w14:textId="77777777" w:rsidR="00940C3E" w:rsidRPr="009A65DD" w:rsidRDefault="00940C3E" w:rsidP="008D0008">
      <w:pPr>
        <w:jc w:val="both"/>
        <w:rPr>
          <w:rFonts w:ascii="Calibri" w:hAnsi="Calibri" w:cs="Calibri"/>
          <w:szCs w:val="22"/>
          <w:u w:val="single"/>
        </w:rPr>
      </w:pPr>
    </w:p>
    <w:p w14:paraId="62EBA85C" w14:textId="77777777" w:rsidR="00980AAE" w:rsidRDefault="00980AAE">
      <w:pPr>
        <w:rPr>
          <w:rFonts w:ascii="Calibri" w:hAnsi="Calibri" w:cs="Calibri"/>
          <w:b/>
          <w:color w:val="4C94D8" w:themeColor="text2" w:themeTint="80"/>
          <w:sz w:val="28"/>
          <w:szCs w:val="28"/>
          <w:u w:val="single"/>
        </w:rPr>
      </w:pPr>
      <w:r>
        <w:br w:type="page"/>
      </w:r>
    </w:p>
    <w:p w14:paraId="6AE6A4D9" w14:textId="5E28EBD1" w:rsidR="00562212" w:rsidRPr="009A65DD" w:rsidRDefault="000B0CFD" w:rsidP="009A65DD">
      <w:pPr>
        <w:pStyle w:val="Heading1"/>
      </w:pPr>
      <w:r w:rsidRPr="009A65DD">
        <w:lastRenderedPageBreak/>
        <w:t>What are some of the advantages of having a Chapter 149 general permit compared to the traditional Chapter 115 air emission license?</w:t>
      </w:r>
    </w:p>
    <w:p w14:paraId="4D2D0F47" w14:textId="77777777" w:rsidR="000B0CFD" w:rsidRPr="009A65DD" w:rsidRDefault="000B0CFD" w:rsidP="008D0008">
      <w:pPr>
        <w:jc w:val="both"/>
        <w:rPr>
          <w:rFonts w:ascii="Calibri" w:hAnsi="Calibri" w:cs="Calibri"/>
          <w:szCs w:val="22"/>
        </w:rPr>
      </w:pPr>
      <w:r w:rsidRPr="009A65DD">
        <w:rPr>
          <w:rFonts w:ascii="Calibri" w:hAnsi="Calibri" w:cs="Calibri"/>
          <w:szCs w:val="22"/>
        </w:rPr>
        <w:t>There are several advantages to the Chapter 149 general permit compared to a tra</w:t>
      </w:r>
      <w:r w:rsidR="003C4018" w:rsidRPr="009A65DD">
        <w:rPr>
          <w:rFonts w:ascii="Calibri" w:hAnsi="Calibri" w:cs="Calibri"/>
          <w:szCs w:val="22"/>
        </w:rPr>
        <w:t>ditional air emission license including:</w:t>
      </w:r>
    </w:p>
    <w:p w14:paraId="54AFEAB6" w14:textId="77777777" w:rsidR="000B0CFD" w:rsidRPr="009A65DD" w:rsidRDefault="000B0CFD" w:rsidP="008D0008">
      <w:pPr>
        <w:jc w:val="both"/>
        <w:rPr>
          <w:rFonts w:ascii="Calibri" w:hAnsi="Calibri" w:cs="Calibri"/>
          <w:szCs w:val="22"/>
        </w:rPr>
      </w:pPr>
    </w:p>
    <w:p w14:paraId="693BBA85" w14:textId="77777777" w:rsidR="001B1C5C" w:rsidRPr="009A65DD" w:rsidRDefault="001B1C5C" w:rsidP="001B1C5C">
      <w:pPr>
        <w:numPr>
          <w:ilvl w:val="0"/>
          <w:numId w:val="2"/>
        </w:numPr>
        <w:jc w:val="both"/>
        <w:rPr>
          <w:rFonts w:ascii="Calibri" w:hAnsi="Calibri" w:cs="Calibri"/>
          <w:szCs w:val="22"/>
        </w:rPr>
      </w:pPr>
      <w:r w:rsidRPr="009A65DD">
        <w:rPr>
          <w:rFonts w:ascii="Calibri" w:hAnsi="Calibri" w:cs="Calibri"/>
          <w:szCs w:val="22"/>
        </w:rPr>
        <w:t xml:space="preserve">A general permit is quicker to obtain. Due to </w:t>
      </w:r>
      <w:r>
        <w:rPr>
          <w:rFonts w:ascii="Calibri" w:hAnsi="Calibri" w:cs="Calibri"/>
          <w:szCs w:val="22"/>
        </w:rPr>
        <w:t>public participation opportunity requirements,</w:t>
      </w:r>
      <w:r w:rsidRPr="009A65DD">
        <w:rPr>
          <w:rFonts w:ascii="Calibri" w:hAnsi="Calibri" w:cs="Calibri"/>
          <w:szCs w:val="22"/>
        </w:rPr>
        <w:t xml:space="preserve"> a traditional air emission license takes a minimum of 20 days to process. A general permit can typically be processed in less than half that time.</w:t>
      </w:r>
    </w:p>
    <w:p w14:paraId="336F6E5A" w14:textId="0E5358C4" w:rsidR="001B1C5C" w:rsidRPr="009A65DD" w:rsidRDefault="001B1C5C" w:rsidP="001B1C5C">
      <w:pPr>
        <w:numPr>
          <w:ilvl w:val="0"/>
          <w:numId w:val="2"/>
        </w:numPr>
        <w:jc w:val="both"/>
        <w:rPr>
          <w:rFonts w:ascii="Calibri" w:hAnsi="Calibri" w:cs="Calibri"/>
          <w:szCs w:val="22"/>
        </w:rPr>
      </w:pPr>
      <w:r w:rsidRPr="009A65DD">
        <w:rPr>
          <w:rFonts w:ascii="Calibri" w:hAnsi="Calibri" w:cs="Calibri"/>
          <w:szCs w:val="22"/>
        </w:rPr>
        <w:t xml:space="preserve">Because the </w:t>
      </w:r>
      <w:r>
        <w:rPr>
          <w:rFonts w:ascii="Calibri" w:hAnsi="Calibri" w:cs="Calibri"/>
          <w:szCs w:val="22"/>
        </w:rPr>
        <w:t>registration</w:t>
      </w:r>
      <w:r w:rsidRPr="009A65DD">
        <w:rPr>
          <w:rFonts w:ascii="Calibri" w:hAnsi="Calibri" w:cs="Calibri"/>
          <w:szCs w:val="22"/>
        </w:rPr>
        <w:t xml:space="preserve"> forms are specific only to rock crushers, they are much shorter and </w:t>
      </w:r>
      <w:r>
        <w:rPr>
          <w:rFonts w:ascii="Calibri" w:hAnsi="Calibri" w:cs="Calibri"/>
          <w:szCs w:val="22"/>
        </w:rPr>
        <w:t xml:space="preserve">more </w:t>
      </w:r>
      <w:r w:rsidRPr="009A65DD">
        <w:rPr>
          <w:rFonts w:ascii="Calibri" w:hAnsi="Calibri" w:cs="Calibri"/>
          <w:szCs w:val="22"/>
        </w:rPr>
        <w:t>straightforward.</w:t>
      </w:r>
    </w:p>
    <w:p w14:paraId="54E92F63" w14:textId="77777777" w:rsidR="001B1C5C" w:rsidRPr="009A65DD" w:rsidRDefault="001B1C5C" w:rsidP="001B1C5C">
      <w:pPr>
        <w:numPr>
          <w:ilvl w:val="0"/>
          <w:numId w:val="2"/>
        </w:numPr>
        <w:jc w:val="both"/>
        <w:rPr>
          <w:rFonts w:ascii="Calibri" w:hAnsi="Calibri" w:cs="Calibri"/>
          <w:szCs w:val="22"/>
        </w:rPr>
      </w:pPr>
      <w:r w:rsidRPr="009A65DD">
        <w:rPr>
          <w:rFonts w:ascii="Calibri" w:hAnsi="Calibri" w:cs="Calibri"/>
          <w:szCs w:val="22"/>
        </w:rPr>
        <w:t>A general permit defines and separates the responsibilities of the crusher Owner and the crusher Operator. This is especially beneficial in the case of rented equipment.</w:t>
      </w:r>
    </w:p>
    <w:p w14:paraId="10CBC7C1" w14:textId="77777777" w:rsidR="001B1C5C" w:rsidRDefault="001B1C5C" w:rsidP="001B1C5C">
      <w:pPr>
        <w:numPr>
          <w:ilvl w:val="0"/>
          <w:numId w:val="2"/>
        </w:numPr>
        <w:jc w:val="both"/>
        <w:rPr>
          <w:rFonts w:ascii="Calibri" w:hAnsi="Calibri" w:cs="Calibri"/>
          <w:szCs w:val="22"/>
        </w:rPr>
      </w:pPr>
      <w:r w:rsidRPr="009A65DD">
        <w:rPr>
          <w:rFonts w:ascii="Calibri" w:hAnsi="Calibri" w:cs="Calibri"/>
          <w:szCs w:val="22"/>
        </w:rPr>
        <w:t>A general permit does not need to be renewed every ten years. The general permit stays in effect until surrendered.</w:t>
      </w:r>
    </w:p>
    <w:p w14:paraId="74BAE1F8" w14:textId="77777777" w:rsidR="001B1C5C" w:rsidRPr="0040393B" w:rsidRDefault="001B1C5C" w:rsidP="001B1C5C">
      <w:pPr>
        <w:numPr>
          <w:ilvl w:val="0"/>
          <w:numId w:val="2"/>
        </w:numPr>
        <w:jc w:val="both"/>
        <w:rPr>
          <w:rFonts w:ascii="Calibri" w:hAnsi="Calibri" w:cs="Calibri"/>
          <w:szCs w:val="22"/>
        </w:rPr>
      </w:pPr>
      <w:r>
        <w:rPr>
          <w:rFonts w:ascii="Calibri" w:hAnsi="Calibri" w:cs="Calibri"/>
          <w:szCs w:val="22"/>
        </w:rPr>
        <w:t>The annual license fee may be significantly less for a general permit under Chapter 149 than for an air emission license under Chapter 115.</w:t>
      </w:r>
    </w:p>
    <w:p w14:paraId="2E0EE128" w14:textId="77777777" w:rsidR="008D0008" w:rsidRPr="009A65DD" w:rsidRDefault="008D0008" w:rsidP="008D0008">
      <w:pPr>
        <w:jc w:val="both"/>
        <w:rPr>
          <w:rFonts w:ascii="Calibri" w:hAnsi="Calibri" w:cs="Calibri"/>
          <w:szCs w:val="22"/>
        </w:rPr>
      </w:pPr>
    </w:p>
    <w:p w14:paraId="0BE07C46" w14:textId="77777777" w:rsidR="008D0008" w:rsidRPr="009A65DD" w:rsidRDefault="008D0008" w:rsidP="009A65DD">
      <w:pPr>
        <w:pStyle w:val="Heading1"/>
      </w:pPr>
      <w:r w:rsidRPr="009A65DD">
        <w:t>How do I apply for a general permit under Chapter 149?</w:t>
      </w:r>
    </w:p>
    <w:p w14:paraId="762D6617" w14:textId="0144519D" w:rsidR="00515B9A" w:rsidRPr="009A65DD" w:rsidRDefault="008D0008" w:rsidP="008D0008">
      <w:pPr>
        <w:jc w:val="both"/>
        <w:rPr>
          <w:rFonts w:ascii="Calibri" w:hAnsi="Calibri" w:cs="Calibri"/>
        </w:rPr>
      </w:pPr>
      <w:r w:rsidRPr="009A65DD">
        <w:rPr>
          <w:rFonts w:ascii="Calibri" w:hAnsi="Calibri" w:cs="Calibri"/>
        </w:rPr>
        <w:t>The rock crusher Owner must first apply for a</w:t>
      </w:r>
      <w:r w:rsidR="00087477" w:rsidRPr="009A65DD">
        <w:rPr>
          <w:rFonts w:ascii="Calibri" w:hAnsi="Calibri" w:cs="Calibri"/>
        </w:rPr>
        <w:t xml:space="preserve"> General Permit Number</w:t>
      </w:r>
      <w:r w:rsidRPr="009A65DD">
        <w:rPr>
          <w:rFonts w:ascii="Calibri" w:hAnsi="Calibri" w:cs="Calibri"/>
        </w:rPr>
        <w:t xml:space="preserve">. </w:t>
      </w:r>
      <w:r w:rsidR="003C4018" w:rsidRPr="009A65DD">
        <w:rPr>
          <w:rFonts w:ascii="Calibri" w:hAnsi="Calibri" w:cs="Calibri"/>
        </w:rPr>
        <w:t>The</w:t>
      </w:r>
      <w:r w:rsidR="0086310F" w:rsidRPr="009A65DD">
        <w:rPr>
          <w:rFonts w:ascii="Calibri" w:hAnsi="Calibri" w:cs="Calibri"/>
        </w:rPr>
        <w:t xml:space="preserve"> Owner fills out </w:t>
      </w:r>
      <w:r w:rsidR="001B1C5C">
        <w:rPr>
          <w:rFonts w:ascii="Calibri" w:hAnsi="Calibri" w:cs="Calibri"/>
        </w:rPr>
        <w:t>registration form</w:t>
      </w:r>
      <w:r w:rsidR="0086310F" w:rsidRPr="009A65DD">
        <w:rPr>
          <w:rFonts w:ascii="Calibri" w:hAnsi="Calibri" w:cs="Calibri"/>
        </w:rPr>
        <w:t xml:space="preserve"> provided by the Department</w:t>
      </w:r>
      <w:r w:rsidR="003C4018" w:rsidRPr="009A65DD">
        <w:rPr>
          <w:rFonts w:ascii="Calibri" w:hAnsi="Calibri" w:cs="Calibri"/>
        </w:rPr>
        <w:t xml:space="preserve"> which identifies the Owner name (as registered with the Secretary of State), contact </w:t>
      </w:r>
      <w:r w:rsidR="00515B9A" w:rsidRPr="009A65DD">
        <w:rPr>
          <w:rFonts w:ascii="Calibri" w:hAnsi="Calibri" w:cs="Calibri"/>
        </w:rPr>
        <w:t xml:space="preserve">and billing </w:t>
      </w:r>
      <w:r w:rsidR="003C4018" w:rsidRPr="009A65DD">
        <w:rPr>
          <w:rFonts w:ascii="Calibri" w:hAnsi="Calibri" w:cs="Calibri"/>
        </w:rPr>
        <w:t>information</w:t>
      </w:r>
      <w:r w:rsidR="00515B9A" w:rsidRPr="009A65DD">
        <w:rPr>
          <w:rFonts w:ascii="Calibri" w:hAnsi="Calibri" w:cs="Calibri"/>
        </w:rPr>
        <w:t xml:space="preserve">, and information about the crusher such as the size, age, and type.  </w:t>
      </w:r>
    </w:p>
    <w:p w14:paraId="46B26A87" w14:textId="77777777" w:rsidR="00515B9A" w:rsidRPr="009A65DD" w:rsidRDefault="00515B9A" w:rsidP="008D0008">
      <w:pPr>
        <w:jc w:val="both"/>
        <w:rPr>
          <w:rFonts w:ascii="Calibri" w:hAnsi="Calibri" w:cs="Calibri"/>
        </w:rPr>
      </w:pPr>
    </w:p>
    <w:p w14:paraId="15BF04BE" w14:textId="06DA7833" w:rsidR="001B1C5C" w:rsidRPr="009A65DD" w:rsidRDefault="001B1C5C" w:rsidP="001B1C5C">
      <w:pPr>
        <w:jc w:val="both"/>
        <w:rPr>
          <w:rFonts w:ascii="Calibri" w:hAnsi="Calibri" w:cs="Calibri"/>
        </w:rPr>
      </w:pPr>
      <w:r w:rsidRPr="009A65DD">
        <w:rPr>
          <w:rFonts w:ascii="Calibri" w:hAnsi="Calibri" w:cs="Calibri"/>
        </w:rPr>
        <w:t>Chapter 149 requires that all crushers have an identifier permanently affixed to them. This number can be the General Permit Number supplied by the Department or another unique identifier such as a serial number. If the Owner would like to use a number other than the General Permit Number as the equipment’s identification number, it must be entered in th</w:t>
      </w:r>
      <w:r>
        <w:rPr>
          <w:rFonts w:ascii="Calibri" w:hAnsi="Calibri" w:cs="Calibri"/>
        </w:rPr>
        <w:t>e provided</w:t>
      </w:r>
      <w:r w:rsidRPr="009A65DD">
        <w:rPr>
          <w:rFonts w:ascii="Calibri" w:hAnsi="Calibri" w:cs="Calibri"/>
        </w:rPr>
        <w:t xml:space="preserve"> field on the </w:t>
      </w:r>
      <w:r>
        <w:rPr>
          <w:rFonts w:ascii="Calibri" w:hAnsi="Calibri" w:cs="Calibri"/>
        </w:rPr>
        <w:t>registration</w:t>
      </w:r>
      <w:r w:rsidRPr="009A65DD">
        <w:rPr>
          <w:rFonts w:ascii="Calibri" w:hAnsi="Calibri" w:cs="Calibri"/>
        </w:rPr>
        <w:t xml:space="preserve"> form.</w:t>
      </w:r>
    </w:p>
    <w:p w14:paraId="31BB542B" w14:textId="77777777" w:rsidR="00515B9A" w:rsidRPr="009A65DD" w:rsidRDefault="00515B9A" w:rsidP="008D0008">
      <w:pPr>
        <w:jc w:val="both"/>
        <w:rPr>
          <w:rFonts w:ascii="Calibri" w:hAnsi="Calibri" w:cs="Calibri"/>
        </w:rPr>
      </w:pPr>
    </w:p>
    <w:p w14:paraId="1A0797A4" w14:textId="54C1B9F1" w:rsidR="001B1C5C" w:rsidRPr="009A65DD" w:rsidRDefault="001B1C5C" w:rsidP="001B1C5C">
      <w:pPr>
        <w:jc w:val="both"/>
        <w:rPr>
          <w:rFonts w:ascii="Calibri" w:hAnsi="Calibri" w:cs="Calibri"/>
        </w:rPr>
      </w:pPr>
      <w:r w:rsidRPr="009A65DD">
        <w:rPr>
          <w:rFonts w:ascii="Calibri" w:hAnsi="Calibri" w:cs="Calibri"/>
        </w:rPr>
        <w:t xml:space="preserve">The Owner </w:t>
      </w:r>
      <w:r>
        <w:rPr>
          <w:rFonts w:ascii="Calibri" w:hAnsi="Calibri" w:cs="Calibri"/>
        </w:rPr>
        <w:t xml:space="preserve">then </w:t>
      </w:r>
      <w:r w:rsidRPr="009A65DD">
        <w:rPr>
          <w:rFonts w:ascii="Calibri" w:hAnsi="Calibri" w:cs="Calibri"/>
        </w:rPr>
        <w:t xml:space="preserve">submits to the Department the General Permit Number </w:t>
      </w:r>
      <w:r w:rsidR="00436783">
        <w:rPr>
          <w:rFonts w:ascii="Calibri" w:hAnsi="Calibri" w:cs="Calibri"/>
        </w:rPr>
        <w:t>registration</w:t>
      </w:r>
      <w:r w:rsidRPr="009A65DD">
        <w:rPr>
          <w:rFonts w:ascii="Calibri" w:hAnsi="Calibri" w:cs="Calibri"/>
        </w:rPr>
        <w:t xml:space="preserve"> form and a check to cover the first year’s annual fee. Please make checks payable to “Treasurer, State of Maine.” </w:t>
      </w:r>
      <w:r w:rsidR="00436783">
        <w:rPr>
          <w:rFonts w:ascii="Calibri" w:hAnsi="Calibri" w:cs="Calibri"/>
        </w:rPr>
        <w:t>F</w:t>
      </w:r>
      <w:r w:rsidRPr="009A65DD">
        <w:rPr>
          <w:rFonts w:ascii="Calibri" w:hAnsi="Calibri" w:cs="Calibri"/>
        </w:rPr>
        <w:t xml:space="preserve">ees can also be paid online through the Department’s </w:t>
      </w:r>
      <w:hyperlink r:id="rId9" w:history="1">
        <w:r w:rsidRPr="009A65DD">
          <w:rPr>
            <w:rStyle w:val="Hyperlink"/>
            <w:rFonts w:ascii="Calibri" w:hAnsi="Calibri" w:cs="Calibri"/>
          </w:rPr>
          <w:t>Payment Portal</w:t>
        </w:r>
      </w:hyperlink>
      <w:r w:rsidRPr="009A65DD">
        <w:rPr>
          <w:rFonts w:ascii="Calibri" w:hAnsi="Calibri" w:cs="Calibri"/>
        </w:rPr>
        <w:t xml:space="preserve">. </w:t>
      </w:r>
    </w:p>
    <w:p w14:paraId="51BDC629" w14:textId="77777777" w:rsidR="00587638" w:rsidRPr="009A65DD" w:rsidRDefault="00587638" w:rsidP="008D0008">
      <w:pPr>
        <w:jc w:val="both"/>
        <w:rPr>
          <w:rFonts w:ascii="Calibri" w:hAnsi="Calibri" w:cs="Calibri"/>
        </w:rPr>
      </w:pPr>
    </w:p>
    <w:p w14:paraId="7867FE6A" w14:textId="3E1F4239" w:rsidR="00587638" w:rsidRPr="009A65DD" w:rsidRDefault="00587638" w:rsidP="00587638">
      <w:pPr>
        <w:jc w:val="both"/>
        <w:rPr>
          <w:rFonts w:ascii="Calibri" w:hAnsi="Calibri" w:cs="Calibri"/>
        </w:rPr>
      </w:pPr>
      <w:r w:rsidRPr="009A65DD">
        <w:rPr>
          <w:rFonts w:ascii="Calibri" w:hAnsi="Calibri" w:cs="Calibri"/>
        </w:rPr>
        <w:t xml:space="preserve">If the equipment Operator will be different than the equipment Owner, the Operator must submit a separate Notice of Intent to Comply (NOITC) form. This </w:t>
      </w:r>
      <w:r w:rsidR="00436783">
        <w:rPr>
          <w:rFonts w:ascii="Calibri" w:hAnsi="Calibri" w:cs="Calibri"/>
        </w:rPr>
        <w:t>form</w:t>
      </w:r>
      <w:r w:rsidRPr="009A65DD">
        <w:rPr>
          <w:rFonts w:ascii="Calibri" w:hAnsi="Calibri" w:cs="Calibri"/>
        </w:rPr>
        <w:t xml:space="preserve"> identifies the Operator’s legal name (as registered with the Secretary of State), contact information, and the physical location where the crusher will be </w:t>
      </w:r>
      <w:r w:rsidR="00436783">
        <w:rPr>
          <w:rFonts w:ascii="Calibri" w:hAnsi="Calibri" w:cs="Calibri"/>
        </w:rPr>
        <w:t>operated</w:t>
      </w:r>
      <w:r w:rsidRPr="009A65DD">
        <w:rPr>
          <w:rFonts w:ascii="Calibri" w:hAnsi="Calibri" w:cs="Calibri"/>
        </w:rPr>
        <w:t xml:space="preserve">. The original NOITC form </w:t>
      </w:r>
      <w:r w:rsidR="00436783">
        <w:rPr>
          <w:rFonts w:ascii="Calibri" w:hAnsi="Calibri" w:cs="Calibri"/>
        </w:rPr>
        <w:lastRenderedPageBreak/>
        <w:t>must be</w:t>
      </w:r>
      <w:r w:rsidRPr="009A65DD">
        <w:rPr>
          <w:rFonts w:ascii="Calibri" w:hAnsi="Calibri" w:cs="Calibri"/>
        </w:rPr>
        <w:t xml:space="preserve"> submitted to the Department and a copy must be </w:t>
      </w:r>
      <w:r w:rsidR="007806C0" w:rsidRPr="009A65DD">
        <w:rPr>
          <w:rFonts w:ascii="Calibri" w:hAnsi="Calibri" w:cs="Calibri"/>
        </w:rPr>
        <w:t xml:space="preserve">provided </w:t>
      </w:r>
      <w:r w:rsidRPr="009A65DD">
        <w:rPr>
          <w:rFonts w:ascii="Calibri" w:hAnsi="Calibri" w:cs="Calibri"/>
        </w:rPr>
        <w:t>to the municipality in which the equipment is to be operated.</w:t>
      </w:r>
    </w:p>
    <w:p w14:paraId="48981B73" w14:textId="77777777" w:rsidR="00087477" w:rsidRPr="009A65DD" w:rsidRDefault="00087477" w:rsidP="008D0008">
      <w:pPr>
        <w:jc w:val="both"/>
        <w:rPr>
          <w:rFonts w:ascii="Calibri" w:hAnsi="Calibri" w:cs="Calibri"/>
        </w:rPr>
      </w:pPr>
    </w:p>
    <w:p w14:paraId="2C543B45" w14:textId="49E147F9" w:rsidR="00436783" w:rsidRPr="009A65DD" w:rsidRDefault="00436783" w:rsidP="00436783">
      <w:pPr>
        <w:jc w:val="both"/>
        <w:rPr>
          <w:rFonts w:ascii="Calibri" w:hAnsi="Calibri" w:cs="Calibri"/>
        </w:rPr>
      </w:pPr>
      <w:r w:rsidRPr="009A65DD">
        <w:rPr>
          <w:rFonts w:ascii="Calibri" w:hAnsi="Calibri" w:cs="Calibri"/>
        </w:rPr>
        <w:t xml:space="preserve">If </w:t>
      </w:r>
      <w:r>
        <w:rPr>
          <w:rFonts w:ascii="Calibri" w:hAnsi="Calibri" w:cs="Calibri"/>
        </w:rPr>
        <w:t>the same entity is</w:t>
      </w:r>
      <w:r w:rsidRPr="009A65DD">
        <w:rPr>
          <w:rFonts w:ascii="Calibri" w:hAnsi="Calibri" w:cs="Calibri"/>
        </w:rPr>
        <w:t xml:space="preserve"> both the Owner and the Operator of the rock crusher, a separate NOITC </w:t>
      </w:r>
      <w:r>
        <w:rPr>
          <w:rFonts w:ascii="Calibri" w:hAnsi="Calibri" w:cs="Calibri"/>
        </w:rPr>
        <w:t>submittal is not required</w:t>
      </w:r>
      <w:r w:rsidRPr="009A65DD">
        <w:rPr>
          <w:rFonts w:ascii="Calibri" w:hAnsi="Calibri" w:cs="Calibri"/>
        </w:rPr>
        <w:t xml:space="preserve">. </w:t>
      </w:r>
      <w:r>
        <w:rPr>
          <w:rFonts w:ascii="Calibri" w:hAnsi="Calibri" w:cs="Calibri"/>
        </w:rPr>
        <w:t>T</w:t>
      </w:r>
      <w:r w:rsidRPr="009A65DD">
        <w:rPr>
          <w:rFonts w:ascii="Calibri" w:hAnsi="Calibri" w:cs="Calibri"/>
        </w:rPr>
        <w:t xml:space="preserve">he box on the bottom of page 3 of the General Permit Number </w:t>
      </w:r>
      <w:r>
        <w:rPr>
          <w:rFonts w:ascii="Calibri" w:hAnsi="Calibri" w:cs="Calibri"/>
        </w:rPr>
        <w:t>registration</w:t>
      </w:r>
      <w:r w:rsidRPr="009A65DD">
        <w:rPr>
          <w:rFonts w:ascii="Calibri" w:hAnsi="Calibri" w:cs="Calibri"/>
        </w:rPr>
        <w:t xml:space="preserve"> form</w:t>
      </w:r>
      <w:r>
        <w:rPr>
          <w:rFonts w:ascii="Calibri" w:hAnsi="Calibri" w:cs="Calibri"/>
        </w:rPr>
        <w:t>,</w:t>
      </w:r>
      <w:r w:rsidRPr="009A65DD">
        <w:rPr>
          <w:rFonts w:ascii="Calibri" w:hAnsi="Calibri" w:cs="Calibri"/>
        </w:rPr>
        <w:t xml:space="preserve"> stating the equipment addressed in the </w:t>
      </w:r>
      <w:r>
        <w:rPr>
          <w:rFonts w:ascii="Calibri" w:hAnsi="Calibri" w:cs="Calibri"/>
        </w:rPr>
        <w:t>registration</w:t>
      </w:r>
      <w:r w:rsidRPr="009A65DD">
        <w:rPr>
          <w:rFonts w:ascii="Calibri" w:hAnsi="Calibri" w:cs="Calibri"/>
        </w:rPr>
        <w:t xml:space="preserve"> will be operated by the Owner</w:t>
      </w:r>
      <w:r>
        <w:rPr>
          <w:rFonts w:ascii="Calibri" w:hAnsi="Calibri" w:cs="Calibri"/>
        </w:rPr>
        <w:t>, must be checked,</w:t>
      </w:r>
      <w:r w:rsidRPr="009A65DD">
        <w:rPr>
          <w:rFonts w:ascii="Calibri" w:hAnsi="Calibri" w:cs="Calibri"/>
        </w:rPr>
        <w:t xml:space="preserve"> and the additional signatory requirement on page 4</w:t>
      </w:r>
      <w:r>
        <w:rPr>
          <w:rFonts w:ascii="Calibri" w:hAnsi="Calibri" w:cs="Calibri"/>
        </w:rPr>
        <w:t xml:space="preserve"> completed</w:t>
      </w:r>
      <w:r w:rsidRPr="009A65DD">
        <w:rPr>
          <w:rFonts w:ascii="Calibri" w:hAnsi="Calibri" w:cs="Calibri"/>
        </w:rPr>
        <w:t>. A copy of the form must then be mailed to the municipality in which the equipment is to be operated.</w:t>
      </w:r>
    </w:p>
    <w:p w14:paraId="5A7B6ADD" w14:textId="77777777" w:rsidR="00940C3E" w:rsidRPr="009A65DD" w:rsidRDefault="00940C3E" w:rsidP="008D0008">
      <w:pPr>
        <w:jc w:val="both"/>
        <w:rPr>
          <w:rFonts w:ascii="Calibri" w:hAnsi="Calibri" w:cs="Calibri"/>
        </w:rPr>
      </w:pPr>
    </w:p>
    <w:p w14:paraId="4BBF970C" w14:textId="02108844" w:rsidR="001F5873" w:rsidRPr="009A65DD" w:rsidRDefault="001F5873" w:rsidP="009A65DD">
      <w:pPr>
        <w:pStyle w:val="Heading1"/>
      </w:pPr>
      <w:r w:rsidRPr="009A65DD">
        <w:t xml:space="preserve">When can I start </w:t>
      </w:r>
      <w:r w:rsidR="00436783">
        <w:t>operating the rock crusher</w:t>
      </w:r>
      <w:r w:rsidRPr="009A65DD">
        <w:t>?</w:t>
      </w:r>
    </w:p>
    <w:p w14:paraId="3060B9CC" w14:textId="7C1DD95C" w:rsidR="001F5873" w:rsidRPr="009A65DD" w:rsidRDefault="00587638" w:rsidP="008D0008">
      <w:pPr>
        <w:jc w:val="both"/>
        <w:rPr>
          <w:rFonts w:ascii="Calibri" w:hAnsi="Calibri" w:cs="Calibri"/>
        </w:rPr>
      </w:pPr>
      <w:r w:rsidRPr="009A65DD">
        <w:rPr>
          <w:rFonts w:ascii="Calibri" w:hAnsi="Calibri" w:cs="Calibri"/>
        </w:rPr>
        <w:t>The NOITC (either in the form of the General Permit</w:t>
      </w:r>
      <w:r w:rsidR="00436783">
        <w:rPr>
          <w:rFonts w:ascii="Calibri" w:hAnsi="Calibri" w:cs="Calibri"/>
        </w:rPr>
        <w:t xml:space="preserve"> Number</w:t>
      </w:r>
      <w:r w:rsidRPr="009A65DD">
        <w:rPr>
          <w:rFonts w:ascii="Calibri" w:hAnsi="Calibri" w:cs="Calibri"/>
        </w:rPr>
        <w:t xml:space="preserve"> </w:t>
      </w:r>
      <w:r w:rsidR="00436783">
        <w:rPr>
          <w:rFonts w:ascii="Calibri" w:hAnsi="Calibri" w:cs="Calibri"/>
        </w:rPr>
        <w:t>registration</w:t>
      </w:r>
      <w:r w:rsidRPr="009A65DD">
        <w:rPr>
          <w:rFonts w:ascii="Calibri" w:hAnsi="Calibri" w:cs="Calibri"/>
        </w:rPr>
        <w:t xml:space="preserve"> if the Owner and Operator are the same entity, or the separate NOITC form if they are not) must be submitted to the Department at least two business days prior to commencing operation.</w:t>
      </w:r>
    </w:p>
    <w:p w14:paraId="09C48C7F" w14:textId="77777777" w:rsidR="003D7132" w:rsidRPr="009A65DD" w:rsidRDefault="003D7132" w:rsidP="008D0008">
      <w:pPr>
        <w:jc w:val="both"/>
        <w:rPr>
          <w:rFonts w:ascii="Calibri" w:hAnsi="Calibri" w:cs="Calibri"/>
        </w:rPr>
      </w:pPr>
    </w:p>
    <w:p w14:paraId="544E9F41" w14:textId="1680A009" w:rsidR="003D7132" w:rsidRPr="009A65DD" w:rsidRDefault="003D7132" w:rsidP="009A65DD">
      <w:pPr>
        <w:pStyle w:val="Heading1"/>
      </w:pPr>
      <w:r w:rsidRPr="009A65DD">
        <w:t xml:space="preserve">Where can I get </w:t>
      </w:r>
      <w:r w:rsidR="00436783">
        <w:t>registration</w:t>
      </w:r>
      <w:r w:rsidRPr="009A65DD">
        <w:t xml:space="preserve"> forms?</w:t>
      </w:r>
    </w:p>
    <w:p w14:paraId="2CA9B0FE" w14:textId="41201A3F" w:rsidR="003D7132" w:rsidRPr="009A65DD" w:rsidRDefault="00436783" w:rsidP="008D0008">
      <w:pPr>
        <w:jc w:val="both"/>
        <w:rPr>
          <w:rFonts w:ascii="Calibri" w:hAnsi="Calibri" w:cs="Calibri"/>
        </w:rPr>
      </w:pPr>
      <w:r>
        <w:rPr>
          <w:rFonts w:ascii="Calibri" w:hAnsi="Calibri" w:cs="Calibri"/>
        </w:rPr>
        <w:t>Registration</w:t>
      </w:r>
      <w:r w:rsidR="003D7132" w:rsidRPr="009A65DD">
        <w:rPr>
          <w:rFonts w:ascii="Calibri" w:hAnsi="Calibri" w:cs="Calibri"/>
        </w:rPr>
        <w:t xml:space="preserve"> forms are available</w:t>
      </w:r>
      <w:r w:rsidR="0086310F" w:rsidRPr="009A65DD">
        <w:rPr>
          <w:rFonts w:ascii="Calibri" w:hAnsi="Calibri" w:cs="Calibri"/>
        </w:rPr>
        <w:t xml:space="preserve"> online</w:t>
      </w:r>
      <w:r w:rsidR="00705A97">
        <w:rPr>
          <w:rFonts w:ascii="Calibri" w:hAnsi="Calibri" w:cs="Calibri"/>
        </w:rPr>
        <w:t xml:space="preserve"> at</w:t>
      </w:r>
      <w:r w:rsidR="0086310F" w:rsidRPr="009A65DD">
        <w:rPr>
          <w:rFonts w:ascii="Calibri" w:hAnsi="Calibri" w:cs="Calibri"/>
        </w:rPr>
        <w:t xml:space="preserve"> </w:t>
      </w:r>
      <w:hyperlink r:id="rId10" w:history="1">
        <w:r w:rsidR="00705A97" w:rsidRPr="00705A97">
          <w:rPr>
            <w:rStyle w:val="Hyperlink"/>
            <w:rFonts w:ascii="Calibri" w:hAnsi="Calibri" w:cs="Calibri"/>
          </w:rPr>
          <w:t xml:space="preserve">webpage for </w:t>
        </w:r>
        <w:proofErr w:type="spellStart"/>
        <w:r w:rsidR="00705A97" w:rsidRPr="00705A97">
          <w:rPr>
            <w:rStyle w:val="Hyperlink"/>
            <w:rFonts w:ascii="Calibri" w:hAnsi="Calibri" w:cs="Calibri"/>
          </w:rPr>
          <w:t>NonMetallic</w:t>
        </w:r>
        <w:proofErr w:type="spellEnd"/>
        <w:r w:rsidR="00705A97" w:rsidRPr="00705A97">
          <w:rPr>
            <w:rStyle w:val="Hyperlink"/>
            <w:rFonts w:ascii="Calibri" w:hAnsi="Calibri" w:cs="Calibri"/>
          </w:rPr>
          <w:t xml:space="preserve"> Mineral Processing Plants (Rock Crushers)</w:t>
        </w:r>
      </w:hyperlink>
      <w:r w:rsidR="00705A97">
        <w:rPr>
          <w:rFonts w:ascii="Calibri" w:hAnsi="Calibri" w:cs="Calibri"/>
        </w:rPr>
        <w:t>.</w:t>
      </w:r>
    </w:p>
    <w:p w14:paraId="63EA45CF" w14:textId="77777777" w:rsidR="0086310F" w:rsidRPr="009A65DD" w:rsidRDefault="0086310F" w:rsidP="008D0008">
      <w:pPr>
        <w:jc w:val="both"/>
        <w:rPr>
          <w:rFonts w:ascii="Calibri" w:hAnsi="Calibri" w:cs="Calibri"/>
        </w:rPr>
      </w:pPr>
    </w:p>
    <w:p w14:paraId="7398DDD5" w14:textId="04E0A14D" w:rsidR="00436783" w:rsidRPr="009A65DD" w:rsidRDefault="00436783" w:rsidP="00436783">
      <w:pPr>
        <w:pStyle w:val="Heading1"/>
      </w:pPr>
      <w:r w:rsidRPr="009A65DD">
        <w:t>Can more than one rock crusher</w:t>
      </w:r>
      <w:r>
        <w:t xml:space="preserve"> be</w:t>
      </w:r>
      <w:r w:rsidRPr="009A65DD">
        <w:t xml:space="preserve"> on the</w:t>
      </w:r>
      <w:r>
        <w:t xml:space="preserve"> same</w:t>
      </w:r>
      <w:r w:rsidRPr="009A65DD">
        <w:t xml:space="preserve"> General Permit</w:t>
      </w:r>
      <w:r>
        <w:t xml:space="preserve"> Number</w:t>
      </w:r>
      <w:r w:rsidRPr="009A65DD">
        <w:t xml:space="preserve"> </w:t>
      </w:r>
      <w:r>
        <w:t>registration</w:t>
      </w:r>
      <w:r w:rsidRPr="009A65DD">
        <w:t xml:space="preserve"> form?</w:t>
      </w:r>
    </w:p>
    <w:p w14:paraId="6976F7DB" w14:textId="1FDC1188" w:rsidR="00A74C20" w:rsidRPr="009A65DD" w:rsidRDefault="00587638" w:rsidP="00A74C20">
      <w:pPr>
        <w:autoSpaceDE w:val="0"/>
        <w:autoSpaceDN w:val="0"/>
        <w:adjustRightInd w:val="0"/>
        <w:jc w:val="both"/>
        <w:rPr>
          <w:rFonts w:ascii="Calibri" w:hAnsi="Calibri" w:cs="Calibri"/>
          <w:bCs/>
        </w:rPr>
      </w:pPr>
      <w:r w:rsidRPr="009A65DD">
        <w:rPr>
          <w:rFonts w:ascii="Calibri" w:hAnsi="Calibri" w:cs="Calibri"/>
          <w:bCs/>
        </w:rPr>
        <w:t xml:space="preserve">No. A separate General Permit Number </w:t>
      </w:r>
      <w:r w:rsidR="00436783">
        <w:rPr>
          <w:rFonts w:ascii="Calibri" w:hAnsi="Calibri" w:cs="Calibri"/>
          <w:bCs/>
        </w:rPr>
        <w:t>registration</w:t>
      </w:r>
      <w:r w:rsidRPr="009A65DD">
        <w:rPr>
          <w:rFonts w:ascii="Calibri" w:hAnsi="Calibri" w:cs="Calibri"/>
          <w:bCs/>
        </w:rPr>
        <w:t xml:space="preserve"> form must be submitted for each rock crusher.</w:t>
      </w:r>
    </w:p>
    <w:p w14:paraId="140F7A7B" w14:textId="77777777" w:rsidR="00A74C20" w:rsidRPr="009A65DD" w:rsidRDefault="00A74C20" w:rsidP="00A74C20">
      <w:pPr>
        <w:autoSpaceDE w:val="0"/>
        <w:autoSpaceDN w:val="0"/>
        <w:adjustRightInd w:val="0"/>
        <w:jc w:val="both"/>
        <w:rPr>
          <w:rFonts w:ascii="Calibri" w:hAnsi="Calibri" w:cs="Calibri"/>
          <w:bCs/>
        </w:rPr>
      </w:pPr>
    </w:p>
    <w:p w14:paraId="30DA8612" w14:textId="47446416" w:rsidR="00A74C20" w:rsidRPr="009A65DD" w:rsidRDefault="00A74C20" w:rsidP="009A65DD">
      <w:pPr>
        <w:pStyle w:val="Heading1"/>
      </w:pPr>
      <w:r w:rsidRPr="009A65DD">
        <w:t>Can I put more than one rock crusher on the NOITC form?</w:t>
      </w:r>
    </w:p>
    <w:p w14:paraId="607E9FAF" w14:textId="77777777" w:rsidR="007806C0" w:rsidRPr="009A65DD" w:rsidRDefault="00587638" w:rsidP="007806C0">
      <w:pPr>
        <w:autoSpaceDE w:val="0"/>
        <w:autoSpaceDN w:val="0"/>
        <w:adjustRightInd w:val="0"/>
        <w:jc w:val="both"/>
        <w:rPr>
          <w:rFonts w:ascii="Calibri" w:hAnsi="Calibri" w:cs="Calibri"/>
          <w:bCs/>
        </w:rPr>
      </w:pPr>
      <w:r w:rsidRPr="009A65DD">
        <w:rPr>
          <w:rFonts w:ascii="Calibri" w:hAnsi="Calibri" w:cs="Calibri"/>
          <w:bCs/>
        </w:rPr>
        <w:t>No. A separate NOITC form must be submitted for each rock crusher.</w:t>
      </w:r>
    </w:p>
    <w:p w14:paraId="26E069DB" w14:textId="77777777" w:rsidR="007806C0" w:rsidRPr="009A65DD" w:rsidRDefault="007806C0" w:rsidP="007806C0">
      <w:pPr>
        <w:autoSpaceDE w:val="0"/>
        <w:autoSpaceDN w:val="0"/>
        <w:adjustRightInd w:val="0"/>
        <w:jc w:val="both"/>
        <w:rPr>
          <w:rFonts w:ascii="Calibri" w:hAnsi="Calibri" w:cs="Calibri"/>
          <w:bCs/>
        </w:rPr>
      </w:pPr>
    </w:p>
    <w:p w14:paraId="333B68DD" w14:textId="2A76B3E7" w:rsidR="00BF351D" w:rsidRPr="009A65DD" w:rsidRDefault="00BF351D" w:rsidP="009A65DD">
      <w:pPr>
        <w:pStyle w:val="Heading1"/>
      </w:pPr>
      <w:r w:rsidRPr="009A65DD">
        <w:t>What if my company is not registered with the Secretary of State?</w:t>
      </w:r>
    </w:p>
    <w:p w14:paraId="793E1199" w14:textId="69C57DCC" w:rsidR="001F5873" w:rsidRPr="009A65DD" w:rsidRDefault="00941718" w:rsidP="008D0008">
      <w:pPr>
        <w:jc w:val="both"/>
        <w:rPr>
          <w:rFonts w:ascii="Calibri" w:hAnsi="Calibri" w:cs="Calibri"/>
        </w:rPr>
      </w:pPr>
      <w:r w:rsidRPr="009A65DD">
        <w:rPr>
          <w:rFonts w:ascii="Calibri" w:hAnsi="Calibri" w:cs="Calibri"/>
        </w:rPr>
        <w:t xml:space="preserve">Owners and Operators are required to use their company names as registered with the </w:t>
      </w:r>
      <w:r w:rsidR="00587638" w:rsidRPr="009A65DD">
        <w:rPr>
          <w:rFonts w:ascii="Calibri" w:hAnsi="Calibri" w:cs="Calibri"/>
        </w:rPr>
        <w:t xml:space="preserve">Maine </w:t>
      </w:r>
      <w:r w:rsidRPr="009A65DD">
        <w:rPr>
          <w:rFonts w:ascii="Calibri" w:hAnsi="Calibri" w:cs="Calibri"/>
        </w:rPr>
        <w:t>Secretary of State</w:t>
      </w:r>
      <w:r w:rsidR="00587638" w:rsidRPr="009A65DD">
        <w:rPr>
          <w:rFonts w:ascii="Calibri" w:hAnsi="Calibri" w:cs="Calibri"/>
        </w:rPr>
        <w:t xml:space="preserve"> or as registered to do business in another state</w:t>
      </w:r>
      <w:r w:rsidRPr="009A65DD">
        <w:rPr>
          <w:rFonts w:ascii="Calibri" w:hAnsi="Calibri" w:cs="Calibri"/>
        </w:rPr>
        <w:t>. If an Owner or Operator is not registered to do business in Maine</w:t>
      </w:r>
      <w:r w:rsidR="00587638" w:rsidRPr="009A65DD">
        <w:rPr>
          <w:rFonts w:ascii="Calibri" w:hAnsi="Calibri" w:cs="Calibri"/>
        </w:rPr>
        <w:t xml:space="preserve"> or another state,</w:t>
      </w:r>
      <w:r w:rsidRPr="009A65DD">
        <w:rPr>
          <w:rFonts w:ascii="Calibri" w:hAnsi="Calibri" w:cs="Calibri"/>
        </w:rPr>
        <w:t xml:space="preserve"> the business name cannot be used. In that case, an Owner or Operator may app</w:t>
      </w:r>
      <w:r w:rsidR="00CA555C" w:rsidRPr="009A65DD">
        <w:rPr>
          <w:rFonts w:ascii="Calibri" w:hAnsi="Calibri" w:cs="Calibri"/>
        </w:rPr>
        <w:t>ly under an individual’s name</w:t>
      </w:r>
      <w:r w:rsidR="00587638" w:rsidRPr="009A65DD">
        <w:rPr>
          <w:rFonts w:ascii="Calibri" w:hAnsi="Calibri" w:cs="Calibri"/>
        </w:rPr>
        <w:t xml:space="preserve"> as a Sole Proprietorship</w:t>
      </w:r>
      <w:r w:rsidR="00CA555C" w:rsidRPr="009A65DD">
        <w:rPr>
          <w:rFonts w:ascii="Calibri" w:hAnsi="Calibri" w:cs="Calibri"/>
        </w:rPr>
        <w:t xml:space="preserve">. </w:t>
      </w:r>
      <w:r w:rsidRPr="009A65DD">
        <w:rPr>
          <w:rFonts w:ascii="Calibri" w:hAnsi="Calibri" w:cs="Calibri"/>
        </w:rPr>
        <w:t>The individual must supply their full legal name and be th</w:t>
      </w:r>
      <w:r w:rsidR="00CA555C" w:rsidRPr="009A65DD">
        <w:rPr>
          <w:rFonts w:ascii="Calibri" w:hAnsi="Calibri" w:cs="Calibri"/>
        </w:rPr>
        <w:t xml:space="preserve">e one to sign the </w:t>
      </w:r>
      <w:r w:rsidR="00436783">
        <w:rPr>
          <w:rFonts w:ascii="Calibri" w:hAnsi="Calibri" w:cs="Calibri"/>
        </w:rPr>
        <w:t>registration</w:t>
      </w:r>
      <w:r w:rsidR="00CA555C" w:rsidRPr="009A65DD">
        <w:rPr>
          <w:rFonts w:ascii="Calibri" w:hAnsi="Calibri" w:cs="Calibri"/>
        </w:rPr>
        <w:t xml:space="preserve">. </w:t>
      </w:r>
      <w:r w:rsidRPr="009A65DD">
        <w:rPr>
          <w:rFonts w:ascii="Calibri" w:hAnsi="Calibri" w:cs="Calibri"/>
        </w:rPr>
        <w:t>This individual takes full legal responsibility for complying with the conditions of the general permit.</w:t>
      </w:r>
    </w:p>
    <w:p w14:paraId="5D36152A" w14:textId="77777777" w:rsidR="009A42F2" w:rsidRPr="009A65DD" w:rsidRDefault="009A42F2" w:rsidP="008D0008">
      <w:pPr>
        <w:jc w:val="both"/>
        <w:rPr>
          <w:rFonts w:ascii="Calibri" w:hAnsi="Calibri" w:cs="Calibri"/>
          <w:u w:val="single"/>
        </w:rPr>
      </w:pPr>
    </w:p>
    <w:p w14:paraId="7ED6CC63" w14:textId="77777777" w:rsidR="00941718" w:rsidRPr="009A65DD" w:rsidRDefault="00941718" w:rsidP="009A65DD">
      <w:pPr>
        <w:pStyle w:val="Heading1"/>
      </w:pPr>
      <w:r w:rsidRPr="009A65DD">
        <w:t xml:space="preserve">What are the </w:t>
      </w:r>
      <w:r w:rsidR="00232583" w:rsidRPr="009A65DD">
        <w:t>requirements for Owners?</w:t>
      </w:r>
    </w:p>
    <w:p w14:paraId="75784A77" w14:textId="77777777" w:rsidR="00232583" w:rsidRPr="009A65DD" w:rsidRDefault="00F81A14" w:rsidP="00F81A14">
      <w:pPr>
        <w:jc w:val="both"/>
        <w:rPr>
          <w:rFonts w:ascii="Calibri" w:hAnsi="Calibri" w:cs="Calibri"/>
        </w:rPr>
      </w:pPr>
      <w:r w:rsidRPr="009A65DD">
        <w:rPr>
          <w:rFonts w:ascii="Calibri" w:hAnsi="Calibri" w:cs="Calibri"/>
        </w:rPr>
        <w:lastRenderedPageBreak/>
        <w:t xml:space="preserve">Owners are subject to the conditions listed in Section 4 of Chapter 149 (beginning on page </w:t>
      </w:r>
      <w:r w:rsidR="00587638" w:rsidRPr="009A65DD">
        <w:rPr>
          <w:rFonts w:ascii="Calibri" w:hAnsi="Calibri" w:cs="Calibri"/>
        </w:rPr>
        <w:t>6</w:t>
      </w:r>
      <w:r w:rsidRPr="009A65DD">
        <w:rPr>
          <w:rFonts w:ascii="Calibri" w:hAnsi="Calibri" w:cs="Calibri"/>
        </w:rPr>
        <w:t xml:space="preserve"> of the rule).</w:t>
      </w:r>
      <w:r w:rsidR="00232583" w:rsidRPr="009A65DD">
        <w:rPr>
          <w:rFonts w:ascii="Calibri" w:hAnsi="Calibri" w:cs="Calibri"/>
        </w:rPr>
        <w:t xml:space="preserve"> </w:t>
      </w:r>
    </w:p>
    <w:p w14:paraId="22CDB2DD" w14:textId="77777777" w:rsidR="00232583" w:rsidRPr="009A65DD" w:rsidRDefault="00232583" w:rsidP="00232583">
      <w:pPr>
        <w:pStyle w:val="RulesSub-section"/>
        <w:spacing w:line="240" w:lineRule="atLeast"/>
        <w:ind w:left="0" w:firstLine="0"/>
        <w:rPr>
          <w:rFonts w:ascii="Calibri" w:hAnsi="Calibri" w:cs="Calibri"/>
          <w:b/>
          <w:sz w:val="24"/>
          <w:szCs w:val="24"/>
        </w:rPr>
      </w:pPr>
    </w:p>
    <w:p w14:paraId="48539709" w14:textId="77777777" w:rsidR="00232583" w:rsidRPr="009A65DD" w:rsidRDefault="00232583" w:rsidP="009A65DD">
      <w:pPr>
        <w:pStyle w:val="Heading1"/>
      </w:pPr>
      <w:r w:rsidRPr="009A65DD">
        <w:t>What are the requirements for Operators?</w:t>
      </w:r>
    </w:p>
    <w:p w14:paraId="335B402F" w14:textId="0893896B" w:rsidR="00F81A14" w:rsidRPr="009A65DD" w:rsidRDefault="00F81A14" w:rsidP="00232583">
      <w:pPr>
        <w:pStyle w:val="RulesSub-section"/>
        <w:spacing w:line="240" w:lineRule="atLeast"/>
        <w:ind w:left="0" w:firstLine="0"/>
        <w:rPr>
          <w:rFonts w:ascii="Calibri" w:hAnsi="Calibri" w:cs="Calibri"/>
          <w:sz w:val="24"/>
          <w:szCs w:val="24"/>
        </w:rPr>
      </w:pPr>
      <w:r w:rsidRPr="009A65DD">
        <w:rPr>
          <w:rFonts w:ascii="Calibri" w:hAnsi="Calibri" w:cs="Calibri"/>
          <w:sz w:val="24"/>
          <w:szCs w:val="24"/>
        </w:rPr>
        <w:t xml:space="preserve">Operators are subject to the conditions listed in Section 5 of Chapter 149 (beginning on page </w:t>
      </w:r>
      <w:r w:rsidR="007806C0" w:rsidRPr="009A65DD">
        <w:rPr>
          <w:rFonts w:ascii="Calibri" w:hAnsi="Calibri" w:cs="Calibri"/>
          <w:sz w:val="24"/>
          <w:szCs w:val="24"/>
        </w:rPr>
        <w:t xml:space="preserve">8 </w:t>
      </w:r>
      <w:r w:rsidRPr="009A65DD">
        <w:rPr>
          <w:rFonts w:ascii="Calibri" w:hAnsi="Calibri" w:cs="Calibri"/>
          <w:sz w:val="24"/>
          <w:szCs w:val="24"/>
        </w:rPr>
        <w:t>of the rule).</w:t>
      </w:r>
    </w:p>
    <w:p w14:paraId="4EBA0837" w14:textId="77777777" w:rsidR="00752CDA" w:rsidRPr="009A65DD" w:rsidRDefault="00752CDA" w:rsidP="00232583">
      <w:pPr>
        <w:pStyle w:val="RulesSub-section"/>
        <w:spacing w:line="240" w:lineRule="atLeast"/>
        <w:ind w:left="0" w:firstLine="0"/>
        <w:rPr>
          <w:rFonts w:ascii="Calibri" w:hAnsi="Calibri" w:cs="Calibri"/>
          <w:sz w:val="24"/>
          <w:szCs w:val="24"/>
        </w:rPr>
      </w:pPr>
    </w:p>
    <w:p w14:paraId="6AD713DF" w14:textId="14DBC29F" w:rsidR="007806C0" w:rsidRPr="009A65DD" w:rsidRDefault="007806C0" w:rsidP="009A65DD">
      <w:pPr>
        <w:pStyle w:val="Heading1"/>
      </w:pPr>
      <w:r w:rsidRPr="009A65DD">
        <w:t>Is there a recurring annual fee?</w:t>
      </w:r>
    </w:p>
    <w:p w14:paraId="5A71BFB5" w14:textId="2BA1E294" w:rsidR="007806C0" w:rsidRPr="009A65DD" w:rsidRDefault="007806C0" w:rsidP="00232583">
      <w:pPr>
        <w:pStyle w:val="RulesSub-section"/>
        <w:spacing w:line="240" w:lineRule="atLeast"/>
        <w:ind w:left="0" w:firstLine="0"/>
        <w:rPr>
          <w:rFonts w:ascii="Calibri" w:hAnsi="Calibri" w:cs="Calibri"/>
          <w:sz w:val="24"/>
          <w:szCs w:val="24"/>
        </w:rPr>
      </w:pPr>
      <w:r w:rsidRPr="009A65DD">
        <w:rPr>
          <w:rFonts w:ascii="Calibri" w:hAnsi="Calibri" w:cs="Calibri"/>
          <w:sz w:val="24"/>
          <w:szCs w:val="24"/>
        </w:rPr>
        <w:t>Yes, the registered Owner must pay an annual fee to the Department, which is typically due by the end of January each year. If the Owner fails to pay the annual fee in full by July 31</w:t>
      </w:r>
      <w:r w:rsidRPr="00436783">
        <w:rPr>
          <w:rFonts w:ascii="Calibri" w:hAnsi="Calibri" w:cs="Calibri"/>
          <w:sz w:val="24"/>
          <w:szCs w:val="24"/>
          <w:vertAlign w:val="superscript"/>
        </w:rPr>
        <w:t>st</w:t>
      </w:r>
      <w:r w:rsidRPr="009A65DD">
        <w:rPr>
          <w:rFonts w:ascii="Calibri" w:hAnsi="Calibri" w:cs="Calibri"/>
          <w:sz w:val="24"/>
          <w:szCs w:val="24"/>
        </w:rPr>
        <w:t xml:space="preserve">, the general permit may be considered voluntarily surrendered and continued operation would be considered to be operating without a license subject to enforcement action including possible fines. </w:t>
      </w:r>
    </w:p>
    <w:p w14:paraId="06580C06" w14:textId="77777777" w:rsidR="007806C0" w:rsidRPr="009A65DD" w:rsidRDefault="007806C0" w:rsidP="00232583">
      <w:pPr>
        <w:pStyle w:val="RulesSub-section"/>
        <w:spacing w:line="240" w:lineRule="atLeast"/>
        <w:ind w:left="0" w:firstLine="0"/>
        <w:rPr>
          <w:rFonts w:ascii="Calibri" w:hAnsi="Calibri" w:cs="Calibri"/>
          <w:sz w:val="24"/>
          <w:szCs w:val="24"/>
        </w:rPr>
      </w:pPr>
    </w:p>
    <w:p w14:paraId="660D451F" w14:textId="0D33DB31" w:rsidR="007806C0" w:rsidRPr="009A65DD" w:rsidRDefault="007806C0" w:rsidP="009A65DD">
      <w:pPr>
        <w:pStyle w:val="Heading1"/>
      </w:pPr>
      <w:r w:rsidRPr="009A65DD">
        <w:t>What if I sell my equipment to a new Owner?</w:t>
      </w:r>
    </w:p>
    <w:p w14:paraId="006206E3" w14:textId="75896824" w:rsidR="007806C0" w:rsidRPr="009A65DD" w:rsidRDefault="007806C0" w:rsidP="00232583">
      <w:pPr>
        <w:pStyle w:val="RulesSub-section"/>
        <w:spacing w:line="240" w:lineRule="atLeast"/>
        <w:ind w:left="0" w:firstLine="0"/>
        <w:rPr>
          <w:rFonts w:ascii="Calibri" w:hAnsi="Calibri" w:cs="Calibri"/>
          <w:sz w:val="24"/>
          <w:szCs w:val="24"/>
        </w:rPr>
      </w:pPr>
      <w:r w:rsidRPr="009A65DD">
        <w:rPr>
          <w:rFonts w:ascii="Calibri" w:hAnsi="Calibri" w:cs="Calibri"/>
          <w:sz w:val="24"/>
          <w:szCs w:val="24"/>
        </w:rPr>
        <w:t>The transfer of a general permit to a new Owner may be accomplished in two ways.</w:t>
      </w:r>
    </w:p>
    <w:p w14:paraId="5611A777" w14:textId="77777777" w:rsidR="007806C0" w:rsidRPr="009A65DD" w:rsidRDefault="007806C0" w:rsidP="00232583">
      <w:pPr>
        <w:pStyle w:val="RulesSub-section"/>
        <w:spacing w:line="240" w:lineRule="atLeast"/>
        <w:ind w:left="0" w:firstLine="0"/>
        <w:rPr>
          <w:rFonts w:ascii="Calibri" w:hAnsi="Calibri" w:cs="Calibri"/>
          <w:sz w:val="24"/>
          <w:szCs w:val="24"/>
        </w:rPr>
      </w:pPr>
    </w:p>
    <w:p w14:paraId="2125EC4D" w14:textId="63E9A22B" w:rsidR="00436783" w:rsidRDefault="00436783" w:rsidP="00436783">
      <w:pPr>
        <w:pStyle w:val="RulesSub-section"/>
        <w:numPr>
          <w:ilvl w:val="0"/>
          <w:numId w:val="38"/>
        </w:numPr>
        <w:spacing w:line="240" w:lineRule="atLeast"/>
        <w:rPr>
          <w:rFonts w:ascii="Calibri" w:hAnsi="Calibri" w:cs="Calibri"/>
          <w:sz w:val="24"/>
          <w:szCs w:val="24"/>
        </w:rPr>
      </w:pPr>
      <w:r>
        <w:rPr>
          <w:rFonts w:ascii="Calibri" w:hAnsi="Calibri" w:cs="Calibri"/>
          <w:sz w:val="24"/>
          <w:szCs w:val="24"/>
        </w:rPr>
        <w:t>T</w:t>
      </w:r>
      <w:r w:rsidR="007806C0" w:rsidRPr="009A65DD">
        <w:rPr>
          <w:rFonts w:ascii="Calibri" w:hAnsi="Calibri" w:cs="Calibri"/>
          <w:sz w:val="24"/>
          <w:szCs w:val="24"/>
        </w:rPr>
        <w:t xml:space="preserve">he previous Owner can </w:t>
      </w:r>
      <w:hyperlink r:id="rId11" w:history="1">
        <w:r w:rsidR="007806C0" w:rsidRPr="00B85D07">
          <w:rPr>
            <w:rStyle w:val="Hyperlink"/>
            <w:rFonts w:ascii="Calibri" w:hAnsi="Calibri" w:cs="Calibri"/>
            <w:sz w:val="24"/>
            <w:szCs w:val="24"/>
          </w:rPr>
          <w:t>surrender</w:t>
        </w:r>
      </w:hyperlink>
      <w:r w:rsidR="007806C0" w:rsidRPr="009A65DD">
        <w:rPr>
          <w:rFonts w:ascii="Calibri" w:hAnsi="Calibri" w:cs="Calibri"/>
          <w:sz w:val="24"/>
          <w:szCs w:val="24"/>
        </w:rPr>
        <w:t xml:space="preserve"> the existing general permit and the new Owner can apply for a new one</w:t>
      </w:r>
      <w:r>
        <w:rPr>
          <w:rFonts w:ascii="Calibri" w:hAnsi="Calibri" w:cs="Calibri"/>
          <w:sz w:val="24"/>
          <w:szCs w:val="24"/>
        </w:rPr>
        <w:t>; or</w:t>
      </w:r>
    </w:p>
    <w:p w14:paraId="25DFC3BF" w14:textId="77777777" w:rsidR="00436783" w:rsidRDefault="00436783" w:rsidP="00436783">
      <w:pPr>
        <w:pStyle w:val="RulesSub-section"/>
        <w:spacing w:line="240" w:lineRule="atLeast"/>
        <w:ind w:firstLine="0"/>
        <w:rPr>
          <w:rFonts w:ascii="Calibri" w:hAnsi="Calibri" w:cs="Calibri"/>
          <w:sz w:val="24"/>
          <w:szCs w:val="24"/>
        </w:rPr>
      </w:pPr>
    </w:p>
    <w:p w14:paraId="0FCB00D1" w14:textId="7CEBA8DD" w:rsidR="007806C0" w:rsidRPr="00436783" w:rsidRDefault="00436783" w:rsidP="00436783">
      <w:pPr>
        <w:pStyle w:val="RulesSub-section"/>
        <w:numPr>
          <w:ilvl w:val="0"/>
          <w:numId w:val="38"/>
        </w:numPr>
        <w:spacing w:line="240" w:lineRule="atLeast"/>
        <w:rPr>
          <w:rFonts w:ascii="Calibri" w:hAnsi="Calibri" w:cs="Calibri"/>
          <w:sz w:val="24"/>
          <w:szCs w:val="24"/>
        </w:rPr>
      </w:pPr>
      <w:r>
        <w:rPr>
          <w:rFonts w:ascii="Calibri" w:hAnsi="Calibri" w:cs="Calibri"/>
          <w:sz w:val="24"/>
          <w:szCs w:val="24"/>
        </w:rPr>
        <w:t>T</w:t>
      </w:r>
      <w:r w:rsidR="007806C0" w:rsidRPr="00436783">
        <w:rPr>
          <w:rFonts w:ascii="Calibri" w:hAnsi="Calibri" w:cs="Calibri"/>
          <w:sz w:val="24"/>
          <w:szCs w:val="24"/>
        </w:rPr>
        <w:t xml:space="preserve">he new Owner can </w:t>
      </w:r>
      <w:r w:rsidR="009A65DD" w:rsidRPr="00436783">
        <w:rPr>
          <w:rFonts w:ascii="Calibri" w:hAnsi="Calibri" w:cs="Calibri"/>
          <w:sz w:val="24"/>
          <w:szCs w:val="24"/>
        </w:rPr>
        <w:t>submit a</w:t>
      </w:r>
      <w:r w:rsidRPr="00436783">
        <w:rPr>
          <w:rFonts w:ascii="Calibri" w:hAnsi="Calibri" w:cs="Calibri"/>
          <w:sz w:val="24"/>
          <w:szCs w:val="24"/>
        </w:rPr>
        <w:t xml:space="preserve"> request </w:t>
      </w:r>
      <w:r w:rsidR="009A65DD" w:rsidRPr="00436783">
        <w:rPr>
          <w:rFonts w:ascii="Calibri" w:hAnsi="Calibri" w:cs="Calibri"/>
          <w:sz w:val="24"/>
          <w:szCs w:val="24"/>
        </w:rPr>
        <w:t xml:space="preserve">to </w:t>
      </w:r>
      <w:hyperlink r:id="rId12" w:history="1">
        <w:r w:rsidR="009A65DD" w:rsidRPr="00B85D07">
          <w:rPr>
            <w:rStyle w:val="Hyperlink"/>
            <w:rFonts w:ascii="Calibri" w:hAnsi="Calibri" w:cs="Calibri"/>
            <w:sz w:val="24"/>
            <w:szCs w:val="24"/>
          </w:rPr>
          <w:t>transfer</w:t>
        </w:r>
      </w:hyperlink>
      <w:r w:rsidR="009A65DD" w:rsidRPr="00436783">
        <w:rPr>
          <w:rFonts w:ascii="Calibri" w:hAnsi="Calibri" w:cs="Calibri"/>
          <w:sz w:val="24"/>
          <w:szCs w:val="24"/>
        </w:rPr>
        <w:t xml:space="preserve"> the existing general permit to their name. </w:t>
      </w:r>
    </w:p>
    <w:p w14:paraId="5BB78156" w14:textId="77777777" w:rsidR="009A65DD" w:rsidRDefault="009A65DD" w:rsidP="00232583">
      <w:pPr>
        <w:pStyle w:val="RulesSub-section"/>
        <w:spacing w:line="240" w:lineRule="atLeast"/>
        <w:ind w:left="0" w:firstLine="0"/>
        <w:rPr>
          <w:rFonts w:ascii="Calibri" w:hAnsi="Calibri" w:cs="Calibri"/>
          <w:sz w:val="24"/>
          <w:szCs w:val="24"/>
        </w:rPr>
      </w:pPr>
    </w:p>
    <w:p w14:paraId="5C297112" w14:textId="3FEE4A8E" w:rsidR="009A65DD" w:rsidRDefault="009A65DD" w:rsidP="009A65DD">
      <w:pPr>
        <w:pStyle w:val="Heading1"/>
      </w:pPr>
      <w:r>
        <w:t>Additional Resources</w:t>
      </w:r>
    </w:p>
    <w:p w14:paraId="2C72EF97" w14:textId="77A4B37B" w:rsidR="009A65DD" w:rsidRPr="00436783" w:rsidRDefault="009A65DD" w:rsidP="00436783">
      <w:pPr>
        <w:jc w:val="both"/>
        <w:rPr>
          <w:rFonts w:ascii="Calibri" w:hAnsi="Calibri" w:cs="Calibri"/>
        </w:rPr>
      </w:pPr>
      <w:r w:rsidRPr="00436783">
        <w:rPr>
          <w:rFonts w:ascii="Calibri" w:hAnsi="Calibri" w:cs="Calibri"/>
        </w:rPr>
        <w:t>A copy of this document is available electronically at</w:t>
      </w:r>
      <w:r w:rsidR="00705A97">
        <w:rPr>
          <w:rFonts w:ascii="Calibri" w:hAnsi="Calibri" w:cs="Calibri"/>
        </w:rPr>
        <w:t xml:space="preserve"> our</w:t>
      </w:r>
      <w:r w:rsidRPr="00436783">
        <w:rPr>
          <w:rFonts w:ascii="Calibri" w:hAnsi="Calibri" w:cs="Calibri"/>
        </w:rPr>
        <w:t xml:space="preserve"> </w:t>
      </w:r>
      <w:hyperlink r:id="rId13" w:history="1">
        <w:r w:rsidR="00705A97" w:rsidRPr="00705A97">
          <w:rPr>
            <w:rStyle w:val="Hyperlink"/>
            <w:rFonts w:ascii="Calibri" w:hAnsi="Calibri" w:cs="Calibri"/>
          </w:rPr>
          <w:t>webpage for NonMetallic Mineral Processing Plants (Rock Crushers)</w:t>
        </w:r>
      </w:hyperlink>
      <w:r w:rsidR="00705A97">
        <w:rPr>
          <w:rFonts w:ascii="Calibri" w:hAnsi="Calibri" w:cs="Calibri"/>
        </w:rPr>
        <w:t>.</w:t>
      </w:r>
    </w:p>
    <w:p w14:paraId="3FAAB8AD" w14:textId="77777777" w:rsidR="009A65DD" w:rsidRPr="00436783" w:rsidRDefault="009A65DD" w:rsidP="00436783">
      <w:pPr>
        <w:jc w:val="both"/>
        <w:rPr>
          <w:rFonts w:ascii="Calibri" w:hAnsi="Calibri" w:cs="Calibri"/>
        </w:rPr>
      </w:pPr>
    </w:p>
    <w:p w14:paraId="6C6B3B67" w14:textId="03DE7177" w:rsidR="00120D78" w:rsidRPr="00436783" w:rsidRDefault="00120D78" w:rsidP="00436783">
      <w:pPr>
        <w:jc w:val="both"/>
        <w:rPr>
          <w:rFonts w:ascii="Calibri" w:hAnsi="Calibri" w:cs="Calibri"/>
        </w:rPr>
      </w:pPr>
      <w:r w:rsidRPr="00436783">
        <w:rPr>
          <w:rFonts w:ascii="Calibri" w:hAnsi="Calibri" w:cs="Calibri"/>
        </w:rPr>
        <w:t xml:space="preserve">Additional guidance specific to engines can be found on the </w:t>
      </w:r>
      <w:hyperlink r:id="rId14" w:history="1">
        <w:r w:rsidRPr="00705A97">
          <w:rPr>
            <w:rStyle w:val="Hyperlink"/>
            <w:rFonts w:ascii="Calibri" w:hAnsi="Calibri" w:cs="Calibri"/>
          </w:rPr>
          <w:t>Air Bureau’s Resources and Publications webpage</w:t>
        </w:r>
      </w:hyperlink>
      <w:r w:rsidR="00705A97">
        <w:rPr>
          <w:rFonts w:ascii="Calibri" w:hAnsi="Calibri" w:cs="Calibri"/>
        </w:rPr>
        <w:t>.</w:t>
      </w:r>
    </w:p>
    <w:p w14:paraId="1E4121F2" w14:textId="77777777" w:rsidR="00120D78" w:rsidRPr="00436783" w:rsidRDefault="00120D78" w:rsidP="00436783">
      <w:pPr>
        <w:jc w:val="both"/>
        <w:rPr>
          <w:rFonts w:ascii="Calibri" w:hAnsi="Calibri" w:cs="Calibri"/>
        </w:rPr>
      </w:pPr>
    </w:p>
    <w:p w14:paraId="59516B1E" w14:textId="77777777" w:rsidR="00120D78" w:rsidRDefault="00120D78" w:rsidP="00436783">
      <w:pPr>
        <w:jc w:val="both"/>
        <w:rPr>
          <w:rFonts w:ascii="Calibri" w:hAnsi="Calibri" w:cs="Calibri"/>
        </w:rPr>
      </w:pPr>
      <w:r>
        <w:rPr>
          <w:rFonts w:ascii="Calibri" w:hAnsi="Calibri" w:cs="Calibri"/>
        </w:rPr>
        <w:br w:type="page"/>
      </w:r>
    </w:p>
    <w:p w14:paraId="137B909A" w14:textId="6B04BA16" w:rsidR="009A65DD" w:rsidRDefault="009A65DD" w:rsidP="00436783">
      <w:pPr>
        <w:jc w:val="both"/>
        <w:rPr>
          <w:rFonts w:ascii="Calibri" w:hAnsi="Calibri" w:cs="Calibri"/>
        </w:rPr>
      </w:pPr>
      <w:r w:rsidRPr="00436783">
        <w:rPr>
          <w:rFonts w:ascii="Calibri" w:hAnsi="Calibri" w:cs="Calibri"/>
        </w:rPr>
        <w:lastRenderedPageBreak/>
        <w:t>For more information or assistance, please contact a Maine DEP Air Licensing staff member</w:t>
      </w:r>
      <w:r w:rsidR="00120D78" w:rsidRPr="00436783">
        <w:rPr>
          <w:rFonts w:ascii="Calibri" w:hAnsi="Calibri" w:cs="Calibri"/>
        </w:rPr>
        <w:t xml:space="preserve"> at </w:t>
      </w:r>
      <w:r w:rsidR="00120D78" w:rsidRPr="00120D78">
        <w:rPr>
          <w:rFonts w:ascii="Calibri" w:hAnsi="Calibri" w:cs="Calibri"/>
          <w:szCs w:val="22"/>
        </w:rPr>
        <w:t>(207) 287-7688 or DEP-Air-Licensing-Help@maine.gov</w:t>
      </w:r>
      <w:r w:rsidRPr="00436783">
        <w:rPr>
          <w:rFonts w:ascii="Calibri" w:hAnsi="Calibri" w:cs="Calibri"/>
        </w:rPr>
        <w:t xml:space="preserve"> or </w:t>
      </w:r>
      <w:r w:rsidR="00D2247F">
        <w:rPr>
          <w:rFonts w:ascii="Calibri" w:hAnsi="Calibri" w:cs="Calibri"/>
        </w:rPr>
        <w:t>the</w:t>
      </w:r>
      <w:r w:rsidRPr="00436783">
        <w:rPr>
          <w:rFonts w:ascii="Calibri" w:hAnsi="Calibri" w:cs="Calibri"/>
        </w:rPr>
        <w:t xml:space="preserve"> regional Air Compliance Inspector at the offices listed below:</w:t>
      </w:r>
    </w:p>
    <w:p w14:paraId="0DF66447" w14:textId="77777777" w:rsidR="00705A97" w:rsidRDefault="00705A97" w:rsidP="00436783">
      <w:pPr>
        <w:jc w:val="both"/>
        <w:rPr>
          <w:rFonts w:ascii="Calibri" w:hAnsi="Calibri" w:cs="Calibri"/>
        </w:rPr>
      </w:pPr>
    </w:p>
    <w:p w14:paraId="7A67C6CD" w14:textId="77777777" w:rsidR="00705A97" w:rsidRPr="00436783" w:rsidRDefault="00705A97" w:rsidP="00705A97">
      <w:pPr>
        <w:rPr>
          <w:rFonts w:asciiTheme="minorHAnsi" w:hAnsiTheme="minorHAnsi" w:cstheme="minorHAnsi"/>
          <w:u w:val="single"/>
        </w:rPr>
      </w:pPr>
      <w:r w:rsidRPr="00436783">
        <w:rPr>
          <w:rFonts w:asciiTheme="minorHAnsi" w:hAnsiTheme="minorHAnsi" w:cstheme="minorHAnsi"/>
          <w:u w:val="single"/>
        </w:rPr>
        <w:t>Central Maine Regional Office</w:t>
      </w:r>
    </w:p>
    <w:p w14:paraId="7A42A7A5"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Air Licensing &amp; Compliance</w:t>
      </w:r>
    </w:p>
    <w:p w14:paraId="6A266AD6"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17 State House Station</w:t>
      </w:r>
    </w:p>
    <w:p w14:paraId="5EDD845C"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Augusta, ME  04333</w:t>
      </w:r>
    </w:p>
    <w:p w14:paraId="5CA9D546" w14:textId="732B977C" w:rsidR="00705A97" w:rsidRDefault="00705A97" w:rsidP="00705A97">
      <w:pPr>
        <w:jc w:val="both"/>
        <w:rPr>
          <w:rFonts w:ascii="Calibri" w:hAnsi="Calibri" w:cs="Calibri"/>
        </w:rPr>
      </w:pPr>
      <w:r w:rsidRPr="00436783">
        <w:rPr>
          <w:rFonts w:asciiTheme="minorHAnsi" w:hAnsiTheme="minorHAnsi" w:cstheme="minorHAnsi"/>
        </w:rPr>
        <w:t>(207) 287-7688</w:t>
      </w:r>
    </w:p>
    <w:p w14:paraId="62B05427" w14:textId="77777777" w:rsidR="00705A97" w:rsidRDefault="00705A97" w:rsidP="00436783">
      <w:pPr>
        <w:jc w:val="both"/>
        <w:rPr>
          <w:rFonts w:ascii="Calibri" w:hAnsi="Calibri" w:cs="Calibri"/>
        </w:rPr>
      </w:pPr>
    </w:p>
    <w:p w14:paraId="402EDBC4" w14:textId="77777777" w:rsidR="00705A97" w:rsidRPr="00436783" w:rsidRDefault="00705A97" w:rsidP="00705A97">
      <w:pPr>
        <w:rPr>
          <w:rFonts w:asciiTheme="minorHAnsi" w:hAnsiTheme="minorHAnsi" w:cstheme="minorHAnsi"/>
          <w:u w:val="single"/>
        </w:rPr>
      </w:pPr>
      <w:r w:rsidRPr="00436783">
        <w:rPr>
          <w:rFonts w:asciiTheme="minorHAnsi" w:hAnsiTheme="minorHAnsi" w:cstheme="minorHAnsi"/>
          <w:u w:val="single"/>
        </w:rPr>
        <w:t>Southern Maine Regional Office</w:t>
      </w:r>
    </w:p>
    <w:p w14:paraId="60B1CF3C"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Air Compliance</w:t>
      </w:r>
    </w:p>
    <w:p w14:paraId="20681341"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 xml:space="preserve">312 </w:t>
      </w:r>
      <w:proofErr w:type="spellStart"/>
      <w:r w:rsidRPr="00436783">
        <w:rPr>
          <w:rFonts w:asciiTheme="minorHAnsi" w:hAnsiTheme="minorHAnsi" w:cstheme="minorHAnsi"/>
        </w:rPr>
        <w:t>Canco</w:t>
      </w:r>
      <w:proofErr w:type="spellEnd"/>
      <w:r w:rsidRPr="00436783">
        <w:rPr>
          <w:rFonts w:asciiTheme="minorHAnsi" w:hAnsiTheme="minorHAnsi" w:cstheme="minorHAnsi"/>
        </w:rPr>
        <w:t xml:space="preserve"> Rd</w:t>
      </w:r>
    </w:p>
    <w:p w14:paraId="53B77203"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Portland, ME  04103</w:t>
      </w:r>
    </w:p>
    <w:p w14:paraId="0F74687C" w14:textId="3F9DCF48" w:rsidR="00705A97" w:rsidRDefault="00705A97" w:rsidP="00705A97">
      <w:pPr>
        <w:jc w:val="both"/>
        <w:rPr>
          <w:rFonts w:ascii="Calibri" w:hAnsi="Calibri" w:cs="Calibri"/>
        </w:rPr>
      </w:pPr>
      <w:r w:rsidRPr="00436783">
        <w:rPr>
          <w:rFonts w:asciiTheme="minorHAnsi" w:hAnsiTheme="minorHAnsi" w:cstheme="minorHAnsi"/>
        </w:rPr>
        <w:t>(207) 822-6300</w:t>
      </w:r>
    </w:p>
    <w:p w14:paraId="47EB18DD" w14:textId="77777777" w:rsidR="00705A97" w:rsidRPr="00436783" w:rsidRDefault="00705A97" w:rsidP="00436783">
      <w:pPr>
        <w:jc w:val="both"/>
        <w:rPr>
          <w:rFonts w:ascii="Calibri" w:hAnsi="Calibri" w:cs="Calibri"/>
        </w:rPr>
      </w:pPr>
    </w:p>
    <w:p w14:paraId="079DD33E" w14:textId="77777777" w:rsidR="00705A97" w:rsidRPr="00436783" w:rsidRDefault="00705A97" w:rsidP="00705A97">
      <w:pPr>
        <w:rPr>
          <w:rFonts w:asciiTheme="minorHAnsi" w:hAnsiTheme="minorHAnsi" w:cstheme="minorHAnsi"/>
          <w:u w:val="single"/>
        </w:rPr>
      </w:pPr>
      <w:r w:rsidRPr="00436783">
        <w:rPr>
          <w:rFonts w:asciiTheme="minorHAnsi" w:hAnsiTheme="minorHAnsi" w:cstheme="minorHAnsi"/>
          <w:u w:val="single"/>
        </w:rPr>
        <w:t>Eastern Maine Regional Office</w:t>
      </w:r>
    </w:p>
    <w:p w14:paraId="4CBDB329"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Air Compliance</w:t>
      </w:r>
    </w:p>
    <w:p w14:paraId="248F0A3B"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106 Hogan Rd, Suite 6</w:t>
      </w:r>
    </w:p>
    <w:p w14:paraId="1E884736"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Bangor, ME  04401</w:t>
      </w:r>
    </w:p>
    <w:p w14:paraId="06672FED" w14:textId="6D20AAEC" w:rsidR="009A65DD" w:rsidRDefault="00705A97" w:rsidP="00705A97">
      <w:pPr>
        <w:rPr>
          <w:rFonts w:asciiTheme="minorHAnsi" w:hAnsiTheme="minorHAnsi" w:cstheme="minorHAnsi"/>
        </w:rPr>
      </w:pPr>
      <w:r w:rsidRPr="00436783">
        <w:rPr>
          <w:rFonts w:asciiTheme="minorHAnsi" w:hAnsiTheme="minorHAnsi" w:cstheme="minorHAnsi"/>
        </w:rPr>
        <w:t>(207) 941-4570</w:t>
      </w:r>
    </w:p>
    <w:p w14:paraId="12608905" w14:textId="77777777" w:rsidR="00705A97" w:rsidRDefault="00705A97" w:rsidP="00705A97">
      <w:pPr>
        <w:rPr>
          <w:rFonts w:asciiTheme="minorHAnsi" w:hAnsiTheme="minorHAnsi" w:cstheme="minorHAnsi"/>
        </w:rPr>
      </w:pPr>
    </w:p>
    <w:p w14:paraId="42A5419D" w14:textId="77777777" w:rsidR="00705A97" w:rsidRPr="00436783" w:rsidRDefault="00705A97" w:rsidP="00705A97">
      <w:pPr>
        <w:rPr>
          <w:rFonts w:asciiTheme="minorHAnsi" w:hAnsiTheme="minorHAnsi" w:cstheme="minorHAnsi"/>
          <w:u w:val="single"/>
        </w:rPr>
      </w:pPr>
      <w:r w:rsidRPr="00436783">
        <w:rPr>
          <w:rFonts w:asciiTheme="minorHAnsi" w:hAnsiTheme="minorHAnsi" w:cstheme="minorHAnsi"/>
          <w:u w:val="single"/>
        </w:rPr>
        <w:t>Northern Maine Regional Office</w:t>
      </w:r>
    </w:p>
    <w:p w14:paraId="58D2FBB3"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Air Compliance</w:t>
      </w:r>
    </w:p>
    <w:p w14:paraId="310EEFCC"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1235 Central Dr, Skyway Park</w:t>
      </w:r>
    </w:p>
    <w:p w14:paraId="251242EC" w14:textId="77777777" w:rsidR="00705A97" w:rsidRPr="00436783" w:rsidRDefault="00705A97" w:rsidP="00705A97">
      <w:pPr>
        <w:rPr>
          <w:rFonts w:asciiTheme="minorHAnsi" w:hAnsiTheme="minorHAnsi" w:cstheme="minorHAnsi"/>
        </w:rPr>
      </w:pPr>
      <w:r w:rsidRPr="00436783">
        <w:rPr>
          <w:rFonts w:asciiTheme="minorHAnsi" w:hAnsiTheme="minorHAnsi" w:cstheme="minorHAnsi"/>
        </w:rPr>
        <w:t>Presque Isle, ME  04769</w:t>
      </w:r>
    </w:p>
    <w:p w14:paraId="5A92892C" w14:textId="489E1B18" w:rsidR="00705A97" w:rsidRDefault="00705A97" w:rsidP="00705A97">
      <w:pPr>
        <w:rPr>
          <w:rFonts w:asciiTheme="minorHAnsi" w:hAnsiTheme="minorHAnsi" w:cstheme="minorHAnsi"/>
        </w:rPr>
      </w:pPr>
      <w:r w:rsidRPr="00436783">
        <w:rPr>
          <w:rFonts w:asciiTheme="minorHAnsi" w:hAnsiTheme="minorHAnsi" w:cstheme="minorHAnsi"/>
        </w:rPr>
        <w:t>(207) 764-0477</w:t>
      </w:r>
    </w:p>
    <w:sectPr w:rsidR="00705A97" w:rsidSect="00752CDA">
      <w:headerReference w:type="default" r:id="rId15"/>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80BE" w14:textId="77777777" w:rsidR="00363BF4" w:rsidRDefault="00363BF4">
      <w:r>
        <w:separator/>
      </w:r>
    </w:p>
  </w:endnote>
  <w:endnote w:type="continuationSeparator" w:id="0">
    <w:p w14:paraId="53BF1390" w14:textId="77777777" w:rsidR="00363BF4" w:rsidRDefault="0036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798B" w14:textId="77777777" w:rsidR="00363BF4" w:rsidRDefault="00363BF4">
      <w:r>
        <w:separator/>
      </w:r>
    </w:p>
  </w:footnote>
  <w:footnote w:type="continuationSeparator" w:id="0">
    <w:p w14:paraId="26712912" w14:textId="77777777" w:rsidR="00363BF4" w:rsidRDefault="0036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B1584F" w14:paraId="0EEFD63D" w14:textId="77777777" w:rsidTr="006134E4">
      <w:trPr>
        <w:jc w:val="right"/>
      </w:trPr>
      <w:tc>
        <w:tcPr>
          <w:tcW w:w="1998" w:type="dxa"/>
        </w:tcPr>
        <w:p w14:paraId="63246376" w14:textId="6D4549A7" w:rsidR="00B1584F" w:rsidRDefault="00B1584F" w:rsidP="006134E4">
          <w:pPr>
            <w:rPr>
              <w:sz w:val="16"/>
            </w:rPr>
          </w:pPr>
          <w:r>
            <w:rPr>
              <w:sz w:val="16"/>
            </w:rPr>
            <w:t>Form No.</w:t>
          </w:r>
        </w:p>
      </w:tc>
      <w:tc>
        <w:tcPr>
          <w:tcW w:w="1260" w:type="dxa"/>
        </w:tcPr>
        <w:p w14:paraId="06087EA9" w14:textId="77777777" w:rsidR="00B1584F" w:rsidRDefault="00B1584F" w:rsidP="006134E4">
          <w:pPr>
            <w:jc w:val="right"/>
            <w:rPr>
              <w:sz w:val="16"/>
            </w:rPr>
          </w:pPr>
          <w:r>
            <w:rPr>
              <w:sz w:val="16"/>
            </w:rPr>
            <w:t>A-L-0033</w:t>
          </w:r>
        </w:p>
      </w:tc>
    </w:tr>
    <w:tr w:rsidR="00B1584F" w14:paraId="64FA9D4D" w14:textId="77777777" w:rsidTr="006134E4">
      <w:trPr>
        <w:jc w:val="right"/>
      </w:trPr>
      <w:tc>
        <w:tcPr>
          <w:tcW w:w="1998" w:type="dxa"/>
        </w:tcPr>
        <w:p w14:paraId="21FAA885" w14:textId="77777777" w:rsidR="00B1584F" w:rsidRDefault="00B1584F" w:rsidP="006134E4">
          <w:pPr>
            <w:rPr>
              <w:sz w:val="16"/>
            </w:rPr>
          </w:pPr>
          <w:r>
            <w:rPr>
              <w:sz w:val="16"/>
            </w:rPr>
            <w:t>Effective Date</w:t>
          </w:r>
        </w:p>
      </w:tc>
      <w:tc>
        <w:tcPr>
          <w:tcW w:w="1260" w:type="dxa"/>
        </w:tcPr>
        <w:p w14:paraId="281FBF4C" w14:textId="77777777" w:rsidR="00B1584F" w:rsidRDefault="00CA555C" w:rsidP="006134E4">
          <w:pPr>
            <w:jc w:val="right"/>
            <w:rPr>
              <w:sz w:val="16"/>
            </w:rPr>
          </w:pPr>
          <w:r>
            <w:rPr>
              <w:sz w:val="16"/>
            </w:rPr>
            <w:t>10/17/08</w:t>
          </w:r>
        </w:p>
      </w:tc>
    </w:tr>
    <w:tr w:rsidR="00B1584F" w14:paraId="34B00D68" w14:textId="77777777" w:rsidTr="006134E4">
      <w:trPr>
        <w:jc w:val="right"/>
      </w:trPr>
      <w:tc>
        <w:tcPr>
          <w:tcW w:w="1998" w:type="dxa"/>
        </w:tcPr>
        <w:p w14:paraId="7D7172E1" w14:textId="77777777" w:rsidR="00B1584F" w:rsidRDefault="00B1584F" w:rsidP="006134E4">
          <w:pPr>
            <w:rPr>
              <w:sz w:val="16"/>
            </w:rPr>
          </w:pPr>
          <w:r>
            <w:rPr>
              <w:sz w:val="16"/>
            </w:rPr>
            <w:t>Revision No.</w:t>
          </w:r>
        </w:p>
      </w:tc>
      <w:tc>
        <w:tcPr>
          <w:tcW w:w="1260" w:type="dxa"/>
        </w:tcPr>
        <w:p w14:paraId="04510EC3" w14:textId="601431B0" w:rsidR="00B1584F" w:rsidRDefault="00705A97" w:rsidP="006134E4">
          <w:pPr>
            <w:jc w:val="right"/>
            <w:rPr>
              <w:sz w:val="16"/>
            </w:rPr>
          </w:pPr>
          <w:r>
            <w:rPr>
              <w:sz w:val="16"/>
            </w:rPr>
            <w:t>08</w:t>
          </w:r>
        </w:p>
      </w:tc>
    </w:tr>
    <w:tr w:rsidR="00B1584F" w14:paraId="7C4DED30" w14:textId="77777777" w:rsidTr="006134E4">
      <w:trPr>
        <w:jc w:val="right"/>
      </w:trPr>
      <w:tc>
        <w:tcPr>
          <w:tcW w:w="1998" w:type="dxa"/>
        </w:tcPr>
        <w:p w14:paraId="60FF1BF5" w14:textId="77777777" w:rsidR="00B1584F" w:rsidRDefault="00B1584F" w:rsidP="006134E4">
          <w:pPr>
            <w:rPr>
              <w:sz w:val="16"/>
            </w:rPr>
          </w:pPr>
          <w:r>
            <w:rPr>
              <w:sz w:val="16"/>
            </w:rPr>
            <w:t>Last Revision Date</w:t>
          </w:r>
        </w:p>
      </w:tc>
      <w:tc>
        <w:tcPr>
          <w:tcW w:w="1260" w:type="dxa"/>
        </w:tcPr>
        <w:p w14:paraId="35E0634A" w14:textId="44710D54" w:rsidR="00B1584F" w:rsidRDefault="00705A97" w:rsidP="006134E4">
          <w:pPr>
            <w:jc w:val="right"/>
            <w:rPr>
              <w:sz w:val="16"/>
            </w:rPr>
          </w:pPr>
          <w:r>
            <w:rPr>
              <w:sz w:val="16"/>
            </w:rPr>
            <w:t>2/27/2026</w:t>
          </w:r>
        </w:p>
      </w:tc>
    </w:tr>
    <w:tr w:rsidR="00B1584F" w14:paraId="3AFC08E3" w14:textId="77777777" w:rsidTr="006134E4">
      <w:trPr>
        <w:jc w:val="right"/>
      </w:trPr>
      <w:tc>
        <w:tcPr>
          <w:tcW w:w="1998" w:type="dxa"/>
        </w:tcPr>
        <w:p w14:paraId="54914C70" w14:textId="77777777" w:rsidR="00B1584F" w:rsidRDefault="00B1584F" w:rsidP="006134E4">
          <w:pPr>
            <w:rPr>
              <w:sz w:val="16"/>
            </w:rPr>
          </w:pPr>
        </w:p>
      </w:tc>
      <w:tc>
        <w:tcPr>
          <w:tcW w:w="1260" w:type="dxa"/>
        </w:tcPr>
        <w:p w14:paraId="652E4438" w14:textId="77777777" w:rsidR="00B1584F" w:rsidRDefault="00B1584F" w:rsidP="006134E4">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7A5C9A">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7A5C9A">
            <w:rPr>
              <w:noProof/>
              <w:snapToGrid w:val="0"/>
              <w:sz w:val="16"/>
            </w:rPr>
            <w:t>4</w:t>
          </w:r>
          <w:r>
            <w:rPr>
              <w:snapToGrid w:val="0"/>
              <w:sz w:val="16"/>
            </w:rPr>
            <w:fldChar w:fldCharType="end"/>
          </w:r>
        </w:p>
      </w:tc>
    </w:tr>
  </w:tbl>
  <w:p w14:paraId="71EDBF8F" w14:textId="1627789E" w:rsidR="00B1584F" w:rsidRDefault="009A65DD">
    <w:pPr>
      <w:pStyle w:val="Header"/>
    </w:pPr>
    <w:r>
      <w:rPr>
        <w:noProof/>
      </w:rPr>
      <w:drawing>
        <wp:anchor distT="0" distB="0" distL="114300" distR="114300" simplePos="0" relativeHeight="251657728" behindDoc="0" locked="0" layoutInCell="0" allowOverlap="1" wp14:anchorId="4434D8E0" wp14:editId="35E25C4A">
          <wp:simplePos x="0" y="0"/>
          <wp:positionH relativeFrom="column">
            <wp:posOffset>0</wp:posOffset>
          </wp:positionH>
          <wp:positionV relativeFrom="paragraph">
            <wp:posOffset>-612775</wp:posOffset>
          </wp:positionV>
          <wp:extent cx="594360" cy="594360"/>
          <wp:effectExtent l="0" t="0" r="0"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5BA"/>
    <w:multiLevelType w:val="multilevel"/>
    <w:tmpl w:val="E2AEA848"/>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005CC6"/>
    <w:multiLevelType w:val="hybridMultilevel"/>
    <w:tmpl w:val="D8EC63FA"/>
    <w:lvl w:ilvl="0" w:tplc="C72A1CF8">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1A3A"/>
    <w:multiLevelType w:val="multilevel"/>
    <w:tmpl w:val="D1E028EA"/>
    <w:lvl w:ilvl="0">
      <w:start w:val="1"/>
      <w:numFmt w:val="upperLetter"/>
      <w:lvlText w:val="%1."/>
      <w:lvlJc w:val="left"/>
      <w:pPr>
        <w:tabs>
          <w:tab w:val="num" w:pos="720"/>
        </w:tabs>
        <w:ind w:left="720" w:hanging="360"/>
      </w:pPr>
      <w:rPr>
        <w:rFonts w:hint="default"/>
        <w:b/>
        <w:i w:val="0"/>
      </w:rPr>
    </w:lvl>
    <w:lvl w:ilvl="1">
      <w:start w:val="17"/>
      <w:numFmt w:val="decimal"/>
      <w:lvlText w:val="(%2)"/>
      <w:lvlJc w:val="left"/>
      <w:pPr>
        <w:tabs>
          <w:tab w:val="num" w:pos="1800"/>
        </w:tabs>
        <w:ind w:left="1800" w:hanging="72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59753C"/>
    <w:multiLevelType w:val="hybridMultilevel"/>
    <w:tmpl w:val="31EEE134"/>
    <w:lvl w:ilvl="0" w:tplc="3BD8397A">
      <w:start w:val="1"/>
      <w:numFmt w:val="decimal"/>
      <w:lvlText w:val="(%1)"/>
      <w:lvlJc w:val="left"/>
      <w:pPr>
        <w:ind w:left="1440" w:hanging="360"/>
      </w:pPr>
      <w:rPr>
        <w:rFonts w:ascii="Times New Roman" w:hAnsi="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36179"/>
    <w:multiLevelType w:val="multilevel"/>
    <w:tmpl w:val="3F58995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5C192F"/>
    <w:multiLevelType w:val="hybridMultilevel"/>
    <w:tmpl w:val="00ECB1E4"/>
    <w:lvl w:ilvl="0" w:tplc="480C6770">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EE3560"/>
    <w:multiLevelType w:val="hybridMultilevel"/>
    <w:tmpl w:val="89CA9516"/>
    <w:lvl w:ilvl="0" w:tplc="F5EC1B90">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CF545E"/>
    <w:multiLevelType w:val="hybridMultilevel"/>
    <w:tmpl w:val="B24CA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00978"/>
    <w:multiLevelType w:val="multilevel"/>
    <w:tmpl w:val="42EAA0FC"/>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8F047F"/>
    <w:multiLevelType w:val="hybridMultilevel"/>
    <w:tmpl w:val="630C2ACC"/>
    <w:lvl w:ilvl="0" w:tplc="A62A2614">
      <w:start w:val="9"/>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72006"/>
    <w:multiLevelType w:val="hybridMultilevel"/>
    <w:tmpl w:val="D1E028EA"/>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5417DF"/>
    <w:multiLevelType w:val="hybridMultilevel"/>
    <w:tmpl w:val="E566F6A4"/>
    <w:lvl w:ilvl="0" w:tplc="67B29EA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C748D1"/>
    <w:multiLevelType w:val="multilevel"/>
    <w:tmpl w:val="D16E016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5C03C2"/>
    <w:multiLevelType w:val="hybridMultilevel"/>
    <w:tmpl w:val="3CC4A7BC"/>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46019B"/>
    <w:multiLevelType w:val="multilevel"/>
    <w:tmpl w:val="8186697E"/>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6B24F8"/>
    <w:multiLevelType w:val="hybridMultilevel"/>
    <w:tmpl w:val="9202D71E"/>
    <w:lvl w:ilvl="0" w:tplc="2CD677DA">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2709B"/>
    <w:multiLevelType w:val="multilevel"/>
    <w:tmpl w:val="595C931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673A32"/>
    <w:multiLevelType w:val="multilevel"/>
    <w:tmpl w:val="1B642DEA"/>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B95042"/>
    <w:multiLevelType w:val="singleLevel"/>
    <w:tmpl w:val="654ED53A"/>
    <w:lvl w:ilvl="0">
      <w:start w:val="1"/>
      <w:numFmt w:val="decimal"/>
      <w:lvlText w:val="(%1)"/>
      <w:lvlJc w:val="left"/>
      <w:pPr>
        <w:tabs>
          <w:tab w:val="num" w:pos="720"/>
        </w:tabs>
        <w:ind w:left="720" w:hanging="360"/>
      </w:pPr>
      <w:rPr>
        <w:rFonts w:hint="default"/>
        <w:b w:val="0"/>
        <w:i w:val="0"/>
        <w:u w:val="none"/>
      </w:rPr>
    </w:lvl>
  </w:abstractNum>
  <w:abstractNum w:abstractNumId="19" w15:restartNumberingAfterBreak="0">
    <w:nsid w:val="48577216"/>
    <w:multiLevelType w:val="multilevel"/>
    <w:tmpl w:val="664265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6F3B08"/>
    <w:multiLevelType w:val="multilevel"/>
    <w:tmpl w:val="630C2ACC"/>
    <w:lvl w:ilvl="0">
      <w:start w:val="9"/>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22"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23" w15:restartNumberingAfterBreak="0">
    <w:nsid w:val="511420A9"/>
    <w:multiLevelType w:val="hybridMultilevel"/>
    <w:tmpl w:val="42EAA0FC"/>
    <w:lvl w:ilvl="0" w:tplc="B428EE24">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E571CD"/>
    <w:multiLevelType w:val="multilevel"/>
    <w:tmpl w:val="F6F4AF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BE4351"/>
    <w:multiLevelType w:val="hybridMultilevel"/>
    <w:tmpl w:val="29A4E65A"/>
    <w:lvl w:ilvl="0" w:tplc="A6C8B65E">
      <w:start w:val="1"/>
      <w:numFmt w:val="upperLetter"/>
      <w:lvlText w:val="%1."/>
      <w:lvlJc w:val="left"/>
      <w:pPr>
        <w:tabs>
          <w:tab w:val="num" w:pos="720"/>
        </w:tabs>
        <w:ind w:left="720" w:hanging="360"/>
      </w:pPr>
      <w:rPr>
        <w:rFonts w:hint="default"/>
        <w:b/>
        <w:i w:val="0"/>
      </w:rPr>
    </w:lvl>
    <w:lvl w:ilvl="1" w:tplc="96B4E026">
      <w:start w:val="1"/>
      <w:numFmt w:val="decimal"/>
      <w:lvlText w:val="%2."/>
      <w:lvlJc w:val="left"/>
      <w:pPr>
        <w:tabs>
          <w:tab w:val="num" w:pos="1080"/>
        </w:tabs>
        <w:ind w:left="1080" w:hanging="360"/>
      </w:pPr>
      <w:rPr>
        <w:rFonts w:hint="default"/>
        <w:b w:val="0"/>
        <w:i w:val="0"/>
      </w:rPr>
    </w:lvl>
    <w:lvl w:ilvl="2" w:tplc="E72C23D0">
      <w:start w:val="1"/>
      <w:numFmt w:val="decimal"/>
      <w:lvlText w:val="%3."/>
      <w:lvlJc w:val="left"/>
      <w:pPr>
        <w:tabs>
          <w:tab w:val="num" w:pos="1080"/>
        </w:tabs>
        <w:ind w:left="1080" w:hanging="360"/>
      </w:pPr>
      <w:rPr>
        <w:rFonts w:hint="default"/>
        <w:b w:val="0"/>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02732F"/>
    <w:multiLevelType w:val="multilevel"/>
    <w:tmpl w:val="29A4E65A"/>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080"/>
        </w:tabs>
        <w:ind w:left="108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4D1B6B"/>
    <w:multiLevelType w:val="hybridMultilevel"/>
    <w:tmpl w:val="76620A04"/>
    <w:lvl w:ilvl="0" w:tplc="8960C6A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EF6029"/>
    <w:multiLevelType w:val="multilevel"/>
    <w:tmpl w:val="DBC83F6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EC0109"/>
    <w:multiLevelType w:val="multilevel"/>
    <w:tmpl w:val="ECF4E880"/>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E5F3538"/>
    <w:multiLevelType w:val="multilevel"/>
    <w:tmpl w:val="8EE6877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AA6A01"/>
    <w:multiLevelType w:val="hybridMultilevel"/>
    <w:tmpl w:val="D56E7DA6"/>
    <w:lvl w:ilvl="0" w:tplc="DF2C4B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1212D2"/>
    <w:multiLevelType w:val="multilevel"/>
    <w:tmpl w:val="B3EAC8B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EE217A7"/>
    <w:multiLevelType w:val="hybridMultilevel"/>
    <w:tmpl w:val="5894ACD6"/>
    <w:lvl w:ilvl="0" w:tplc="2000212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8C44FE"/>
    <w:multiLevelType w:val="hybridMultilevel"/>
    <w:tmpl w:val="2DCC3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7E6F71"/>
    <w:multiLevelType w:val="hybridMultilevel"/>
    <w:tmpl w:val="23DCF0F4"/>
    <w:lvl w:ilvl="0" w:tplc="67A6B942">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A2F2DF2"/>
    <w:multiLevelType w:val="hybridMultilevel"/>
    <w:tmpl w:val="66D689DA"/>
    <w:lvl w:ilvl="0" w:tplc="283E249E">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694EFC"/>
    <w:multiLevelType w:val="hybridMultilevel"/>
    <w:tmpl w:val="1A74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977063">
    <w:abstractNumId w:val="7"/>
  </w:num>
  <w:num w:numId="2" w16cid:durableId="1020468670">
    <w:abstractNumId w:val="34"/>
  </w:num>
  <w:num w:numId="3" w16cid:durableId="1011420813">
    <w:abstractNumId w:val="18"/>
  </w:num>
  <w:num w:numId="4" w16cid:durableId="2063477071">
    <w:abstractNumId w:val="10"/>
  </w:num>
  <w:num w:numId="5" w16cid:durableId="101919889">
    <w:abstractNumId w:val="27"/>
  </w:num>
  <w:num w:numId="6" w16cid:durableId="1822889765">
    <w:abstractNumId w:val="33"/>
  </w:num>
  <w:num w:numId="7" w16cid:durableId="342628605">
    <w:abstractNumId w:val="22"/>
  </w:num>
  <w:num w:numId="8" w16cid:durableId="1317488569">
    <w:abstractNumId w:val="21"/>
  </w:num>
  <w:num w:numId="9" w16cid:durableId="1051346274">
    <w:abstractNumId w:val="5"/>
  </w:num>
  <w:num w:numId="10" w16cid:durableId="1984890380">
    <w:abstractNumId w:val="13"/>
  </w:num>
  <w:num w:numId="11" w16cid:durableId="827667493">
    <w:abstractNumId w:val="25"/>
  </w:num>
  <w:num w:numId="12" w16cid:durableId="828406364">
    <w:abstractNumId w:val="36"/>
  </w:num>
  <w:num w:numId="13" w16cid:durableId="1667636357">
    <w:abstractNumId w:val="9"/>
  </w:num>
  <w:num w:numId="14" w16cid:durableId="1537541500">
    <w:abstractNumId w:val="6"/>
  </w:num>
  <w:num w:numId="15" w16cid:durableId="148986517">
    <w:abstractNumId w:val="15"/>
  </w:num>
  <w:num w:numId="16" w16cid:durableId="1119570448">
    <w:abstractNumId w:val="1"/>
  </w:num>
  <w:num w:numId="17" w16cid:durableId="506022984">
    <w:abstractNumId w:val="2"/>
  </w:num>
  <w:num w:numId="18" w16cid:durableId="441194892">
    <w:abstractNumId w:val="31"/>
  </w:num>
  <w:num w:numId="19" w16cid:durableId="1254246053">
    <w:abstractNumId w:val="14"/>
  </w:num>
  <w:num w:numId="20" w16cid:durableId="1746993428">
    <w:abstractNumId w:val="4"/>
  </w:num>
  <w:num w:numId="21" w16cid:durableId="2142721344">
    <w:abstractNumId w:val="26"/>
  </w:num>
  <w:num w:numId="22" w16cid:durableId="1080560010">
    <w:abstractNumId w:val="11"/>
  </w:num>
  <w:num w:numId="23" w16cid:durableId="355931863">
    <w:abstractNumId w:val="12"/>
  </w:num>
  <w:num w:numId="24" w16cid:durableId="2021201988">
    <w:abstractNumId w:val="16"/>
  </w:num>
  <w:num w:numId="25" w16cid:durableId="509568989">
    <w:abstractNumId w:val="19"/>
  </w:num>
  <w:num w:numId="26" w16cid:durableId="1753505648">
    <w:abstractNumId w:val="20"/>
  </w:num>
  <w:num w:numId="27" w16cid:durableId="529606634">
    <w:abstractNumId w:val="23"/>
  </w:num>
  <w:num w:numId="28" w16cid:durableId="1878657330">
    <w:abstractNumId w:val="8"/>
  </w:num>
  <w:num w:numId="29" w16cid:durableId="1647856226">
    <w:abstractNumId w:val="29"/>
  </w:num>
  <w:num w:numId="30" w16cid:durableId="1562252988">
    <w:abstractNumId w:val="0"/>
  </w:num>
  <w:num w:numId="31" w16cid:durableId="1555389735">
    <w:abstractNumId w:val="32"/>
  </w:num>
  <w:num w:numId="32" w16cid:durableId="1792623396">
    <w:abstractNumId w:val="24"/>
  </w:num>
  <w:num w:numId="33" w16cid:durableId="61100922">
    <w:abstractNumId w:val="17"/>
  </w:num>
  <w:num w:numId="34" w16cid:durableId="993266217">
    <w:abstractNumId w:val="28"/>
  </w:num>
  <w:num w:numId="35" w16cid:durableId="1836919120">
    <w:abstractNumId w:val="30"/>
  </w:num>
  <w:num w:numId="36" w16cid:durableId="1965305355">
    <w:abstractNumId w:val="35"/>
  </w:num>
  <w:num w:numId="37" w16cid:durableId="43405689">
    <w:abstractNumId w:val="3"/>
  </w:num>
  <w:num w:numId="38" w16cid:durableId="6965903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BA"/>
    <w:rsid w:val="000133DF"/>
    <w:rsid w:val="000144F3"/>
    <w:rsid w:val="00087477"/>
    <w:rsid w:val="00093460"/>
    <w:rsid w:val="00094C5D"/>
    <w:rsid w:val="000B0CFD"/>
    <w:rsid w:val="000B0F53"/>
    <w:rsid w:val="000B1B02"/>
    <w:rsid w:val="000B2229"/>
    <w:rsid w:val="000C5D19"/>
    <w:rsid w:val="000D57AF"/>
    <w:rsid w:val="000E5B70"/>
    <w:rsid w:val="00102068"/>
    <w:rsid w:val="00107FC3"/>
    <w:rsid w:val="00120D78"/>
    <w:rsid w:val="00141995"/>
    <w:rsid w:val="00166F41"/>
    <w:rsid w:val="001B1C5C"/>
    <w:rsid w:val="001E7126"/>
    <w:rsid w:val="001F0A5C"/>
    <w:rsid w:val="001F5873"/>
    <w:rsid w:val="0021395B"/>
    <w:rsid w:val="00232583"/>
    <w:rsid w:val="00235010"/>
    <w:rsid w:val="00237D7A"/>
    <w:rsid w:val="00242CAA"/>
    <w:rsid w:val="00251F78"/>
    <w:rsid w:val="00302FBE"/>
    <w:rsid w:val="003124CF"/>
    <w:rsid w:val="00360AC5"/>
    <w:rsid w:val="00363BF4"/>
    <w:rsid w:val="00381F23"/>
    <w:rsid w:val="003B408D"/>
    <w:rsid w:val="003B678C"/>
    <w:rsid w:val="003C4018"/>
    <w:rsid w:val="003D7132"/>
    <w:rsid w:val="00426588"/>
    <w:rsid w:val="00436783"/>
    <w:rsid w:val="00476175"/>
    <w:rsid w:val="004A021B"/>
    <w:rsid w:val="004C0D27"/>
    <w:rsid w:val="004E57B3"/>
    <w:rsid w:val="00513AFC"/>
    <w:rsid w:val="00515B9A"/>
    <w:rsid w:val="00543BA3"/>
    <w:rsid w:val="00562212"/>
    <w:rsid w:val="00581958"/>
    <w:rsid w:val="00587638"/>
    <w:rsid w:val="005D15B0"/>
    <w:rsid w:val="005D4C7F"/>
    <w:rsid w:val="006124BA"/>
    <w:rsid w:val="006134E4"/>
    <w:rsid w:val="006232BD"/>
    <w:rsid w:val="006258E6"/>
    <w:rsid w:val="00680BEA"/>
    <w:rsid w:val="006F2CC1"/>
    <w:rsid w:val="00705A97"/>
    <w:rsid w:val="007114EF"/>
    <w:rsid w:val="007501A8"/>
    <w:rsid w:val="00752CDA"/>
    <w:rsid w:val="0076523E"/>
    <w:rsid w:val="007806C0"/>
    <w:rsid w:val="00787E97"/>
    <w:rsid w:val="007921F6"/>
    <w:rsid w:val="007A5C9A"/>
    <w:rsid w:val="007F1A7F"/>
    <w:rsid w:val="00806250"/>
    <w:rsid w:val="00815AB0"/>
    <w:rsid w:val="00826226"/>
    <w:rsid w:val="0085480F"/>
    <w:rsid w:val="008576FE"/>
    <w:rsid w:val="0086310F"/>
    <w:rsid w:val="008639A7"/>
    <w:rsid w:val="0086533A"/>
    <w:rsid w:val="008C5652"/>
    <w:rsid w:val="008C68FB"/>
    <w:rsid w:val="008D0008"/>
    <w:rsid w:val="008D46AA"/>
    <w:rsid w:val="009038D5"/>
    <w:rsid w:val="009341AC"/>
    <w:rsid w:val="00940C3E"/>
    <w:rsid w:val="00941718"/>
    <w:rsid w:val="00960107"/>
    <w:rsid w:val="0096199E"/>
    <w:rsid w:val="00971EA5"/>
    <w:rsid w:val="00980AAE"/>
    <w:rsid w:val="0099496F"/>
    <w:rsid w:val="009A42F2"/>
    <w:rsid w:val="009A65DD"/>
    <w:rsid w:val="009E6683"/>
    <w:rsid w:val="00A21263"/>
    <w:rsid w:val="00A30FEA"/>
    <w:rsid w:val="00A357BE"/>
    <w:rsid w:val="00A35A89"/>
    <w:rsid w:val="00A74C20"/>
    <w:rsid w:val="00A75213"/>
    <w:rsid w:val="00AA3D51"/>
    <w:rsid w:val="00B1584F"/>
    <w:rsid w:val="00B3298C"/>
    <w:rsid w:val="00B77719"/>
    <w:rsid w:val="00B77C95"/>
    <w:rsid w:val="00B85D07"/>
    <w:rsid w:val="00BF351D"/>
    <w:rsid w:val="00C04227"/>
    <w:rsid w:val="00C30D86"/>
    <w:rsid w:val="00C47633"/>
    <w:rsid w:val="00C93758"/>
    <w:rsid w:val="00CA555C"/>
    <w:rsid w:val="00CB4A56"/>
    <w:rsid w:val="00CF4E94"/>
    <w:rsid w:val="00CF539E"/>
    <w:rsid w:val="00D033E3"/>
    <w:rsid w:val="00D0743F"/>
    <w:rsid w:val="00D2247F"/>
    <w:rsid w:val="00D403C4"/>
    <w:rsid w:val="00D40685"/>
    <w:rsid w:val="00D40FD4"/>
    <w:rsid w:val="00DD5F5B"/>
    <w:rsid w:val="00DE3D75"/>
    <w:rsid w:val="00E00858"/>
    <w:rsid w:val="00E25099"/>
    <w:rsid w:val="00E56713"/>
    <w:rsid w:val="00E83BB4"/>
    <w:rsid w:val="00E95924"/>
    <w:rsid w:val="00EB5E63"/>
    <w:rsid w:val="00F46FAF"/>
    <w:rsid w:val="00F81A14"/>
    <w:rsid w:val="00FA4068"/>
    <w:rsid w:val="00FA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4DA4"/>
  <w15:chartTrackingRefBased/>
  <w15:docId w15:val="{C7BC21DF-BB85-4852-9C1B-B19140EB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A97"/>
    <w:rPr>
      <w:sz w:val="24"/>
      <w:szCs w:val="24"/>
    </w:rPr>
  </w:style>
  <w:style w:type="paragraph" w:styleId="Heading1">
    <w:name w:val="heading 1"/>
    <w:basedOn w:val="Normal"/>
    <w:next w:val="Normal"/>
    <w:link w:val="Heading1Char"/>
    <w:qFormat/>
    <w:rsid w:val="009A65DD"/>
    <w:pPr>
      <w:spacing w:after="120"/>
      <w:jc w:val="both"/>
      <w:outlineLvl w:val="0"/>
    </w:pPr>
    <w:rPr>
      <w:rFonts w:ascii="Calibri" w:hAnsi="Calibri" w:cs="Calibri"/>
      <w:b/>
      <w:color w:val="4C94D8" w:themeColor="text2" w:themeTint="8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Sub-section">
    <w:name w:val="Rules: Sub-section"/>
    <w:basedOn w:val="Normal"/>
    <w:rsid w:val="00232583"/>
    <w:pPr>
      <w:ind w:left="720" w:hanging="360"/>
      <w:jc w:val="both"/>
    </w:pPr>
    <w:rPr>
      <w:sz w:val="22"/>
      <w:szCs w:val="20"/>
    </w:rPr>
  </w:style>
  <w:style w:type="character" w:styleId="Hyperlink">
    <w:name w:val="Hyperlink"/>
    <w:rsid w:val="00232583"/>
    <w:rPr>
      <w:color w:val="0000FF"/>
      <w:u w:val="single"/>
    </w:rPr>
  </w:style>
  <w:style w:type="paragraph" w:styleId="Header">
    <w:name w:val="header"/>
    <w:basedOn w:val="Normal"/>
    <w:rsid w:val="00237D7A"/>
    <w:pPr>
      <w:tabs>
        <w:tab w:val="center" w:pos="4320"/>
        <w:tab w:val="right" w:pos="8640"/>
      </w:tabs>
    </w:pPr>
  </w:style>
  <w:style w:type="paragraph" w:styleId="Footer">
    <w:name w:val="footer"/>
    <w:basedOn w:val="Normal"/>
    <w:rsid w:val="00237D7A"/>
    <w:pPr>
      <w:tabs>
        <w:tab w:val="center" w:pos="4320"/>
        <w:tab w:val="right" w:pos="8640"/>
      </w:tabs>
    </w:pPr>
  </w:style>
  <w:style w:type="paragraph" w:styleId="BalloonText">
    <w:name w:val="Balloon Text"/>
    <w:basedOn w:val="Normal"/>
    <w:semiHidden/>
    <w:rsid w:val="009341AC"/>
    <w:rPr>
      <w:rFonts w:ascii="Tahoma" w:hAnsi="Tahoma" w:cs="Tahoma"/>
      <w:sz w:val="16"/>
      <w:szCs w:val="16"/>
    </w:rPr>
  </w:style>
  <w:style w:type="paragraph" w:styleId="Revision">
    <w:name w:val="Revision"/>
    <w:hidden/>
    <w:uiPriority w:val="99"/>
    <w:semiHidden/>
    <w:rsid w:val="006258E6"/>
    <w:rPr>
      <w:sz w:val="24"/>
      <w:szCs w:val="24"/>
    </w:rPr>
  </w:style>
  <w:style w:type="paragraph" w:styleId="ListParagraph">
    <w:name w:val="List Paragraph"/>
    <w:basedOn w:val="Normal"/>
    <w:uiPriority w:val="34"/>
    <w:qFormat/>
    <w:rsid w:val="00A357BE"/>
    <w:pPr>
      <w:ind w:left="720"/>
    </w:pPr>
    <w:rPr>
      <w:rFonts w:ascii="CG Times (WN)" w:hAnsi="CG Times (WN)"/>
      <w:szCs w:val="20"/>
    </w:rPr>
  </w:style>
  <w:style w:type="character" w:styleId="UnresolvedMention">
    <w:name w:val="Unresolved Mention"/>
    <w:basedOn w:val="DefaultParagraphFont"/>
    <w:uiPriority w:val="99"/>
    <w:semiHidden/>
    <w:unhideWhenUsed/>
    <w:rsid w:val="00A357BE"/>
    <w:rPr>
      <w:color w:val="605E5C"/>
      <w:shd w:val="clear" w:color="auto" w:fill="E1DFDD"/>
    </w:rPr>
  </w:style>
  <w:style w:type="character" w:styleId="CommentReference">
    <w:name w:val="annotation reference"/>
    <w:basedOn w:val="DefaultParagraphFont"/>
    <w:rsid w:val="00A357BE"/>
    <w:rPr>
      <w:sz w:val="16"/>
      <w:szCs w:val="16"/>
    </w:rPr>
  </w:style>
  <w:style w:type="paragraph" w:styleId="CommentText">
    <w:name w:val="annotation text"/>
    <w:basedOn w:val="Normal"/>
    <w:link w:val="CommentTextChar"/>
    <w:rsid w:val="00A357BE"/>
    <w:rPr>
      <w:sz w:val="20"/>
      <w:szCs w:val="20"/>
    </w:rPr>
  </w:style>
  <w:style w:type="character" w:customStyle="1" w:styleId="CommentTextChar">
    <w:name w:val="Comment Text Char"/>
    <w:basedOn w:val="DefaultParagraphFont"/>
    <w:link w:val="CommentText"/>
    <w:rsid w:val="00A357BE"/>
  </w:style>
  <w:style w:type="paragraph" w:styleId="CommentSubject">
    <w:name w:val="annotation subject"/>
    <w:basedOn w:val="CommentText"/>
    <w:next w:val="CommentText"/>
    <w:link w:val="CommentSubjectChar"/>
    <w:rsid w:val="00A357BE"/>
    <w:rPr>
      <w:b/>
      <w:bCs/>
    </w:rPr>
  </w:style>
  <w:style w:type="character" w:customStyle="1" w:styleId="CommentSubjectChar">
    <w:name w:val="Comment Subject Char"/>
    <w:basedOn w:val="CommentTextChar"/>
    <w:link w:val="CommentSubject"/>
    <w:rsid w:val="00A357BE"/>
    <w:rPr>
      <w:b/>
      <w:bCs/>
    </w:rPr>
  </w:style>
  <w:style w:type="character" w:customStyle="1" w:styleId="Heading1Char">
    <w:name w:val="Heading 1 Char"/>
    <w:basedOn w:val="DefaultParagraphFont"/>
    <w:link w:val="Heading1"/>
    <w:rsid w:val="009A65DD"/>
    <w:rPr>
      <w:rFonts w:ascii="Calibri" w:hAnsi="Calibri" w:cs="Calibri"/>
      <w:b/>
      <w:color w:val="4C94D8" w:themeColor="text2" w:themeTint="80"/>
      <w:sz w:val="28"/>
      <w:szCs w:val="28"/>
      <w:u w:val="single"/>
    </w:rPr>
  </w:style>
  <w:style w:type="table" w:styleId="TableGrid">
    <w:name w:val="Table Grid"/>
    <w:basedOn w:val="TableNormal"/>
    <w:uiPriority w:val="59"/>
    <w:rsid w:val="009A65DD"/>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85D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Air-Licensing-Help@maine.gov" TargetMode="External"/><Relationship Id="rId13" Type="http://schemas.openxmlformats.org/officeDocument/2006/relationships/hyperlink" Target="https://www.maine.gov/dep/air/permits/rkcrusher.html" TargetMode="External"/><Relationship Id="rId3" Type="http://schemas.openxmlformats.org/officeDocument/2006/relationships/settings" Target="settings.xml"/><Relationship Id="rId7" Type="http://schemas.openxmlformats.org/officeDocument/2006/relationships/hyperlink" Target="https://www.maine.gov/dep/air/permits/rkcrusher.html" TargetMode="External"/><Relationship Id="rId12" Type="http://schemas.openxmlformats.org/officeDocument/2006/relationships/hyperlink" Target="https://www.maine.gov/dep/air/permits/docs/Ch149GeneralPermittransferapp2026.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dep/air/permits/docs/licsurform.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aine.gov/dep/air/permits/rkcrusher.html" TargetMode="External"/><Relationship Id="rId4" Type="http://schemas.openxmlformats.org/officeDocument/2006/relationships/webSettings" Target="webSettings.xml"/><Relationship Id="rId9" Type="http://schemas.openxmlformats.org/officeDocument/2006/relationships/hyperlink" Target="https://gateway.maine.gov/dep/web_dep_payment/" TargetMode="External"/><Relationship Id="rId14" Type="http://schemas.openxmlformats.org/officeDocument/2006/relationships/hyperlink" Target="https://www.maine.gov/dep/air/publication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1664</Words>
  <Characters>9488</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Guidance for complying with Chapter 149, General Permit for Non-Metallic Mineral Processing Plants</vt:lpstr>
    </vt:vector>
  </TitlesOfParts>
  <Company>Dept. of Health and Human Services</Company>
  <LinksUpToDate>false</LinksUpToDate>
  <CharactersWithSpaces>11130</CharactersWithSpaces>
  <SharedDoc>false</SharedDoc>
  <HLinks>
    <vt:vector size="12" baseType="variant">
      <vt:variant>
        <vt:i4>4128827</vt:i4>
      </vt:variant>
      <vt:variant>
        <vt:i4>3</vt:i4>
      </vt:variant>
      <vt:variant>
        <vt:i4>0</vt:i4>
      </vt:variant>
      <vt:variant>
        <vt:i4>5</vt:i4>
      </vt:variant>
      <vt:variant>
        <vt:lpwstr>http://www.maine.gov/dep/air/permits/rkcrusher.html</vt:lpwstr>
      </vt:variant>
      <vt:variant>
        <vt:lpwstr/>
      </vt:variant>
      <vt:variant>
        <vt:i4>4128827</vt:i4>
      </vt:variant>
      <vt:variant>
        <vt:i4>0</vt:i4>
      </vt:variant>
      <vt:variant>
        <vt:i4>0</vt:i4>
      </vt:variant>
      <vt:variant>
        <vt:i4>5</vt:i4>
      </vt:variant>
      <vt:variant>
        <vt:lpwstr>http://www.maine.gov/dep/air/permits/rkcrusher.html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complying with Chapter 149, General Permit for Non-Metallic Mineral Processing Plants</dc:title>
  <dc:subject/>
  <dc:creator>Lynn Ross</dc:creator>
  <cp:keywords/>
  <cp:lastModifiedBy>Muzzey, Lynn</cp:lastModifiedBy>
  <cp:revision>6</cp:revision>
  <cp:lastPrinted>2016-11-22T19:01:00Z</cp:lastPrinted>
  <dcterms:created xsi:type="dcterms:W3CDTF">2025-12-22T19:46:00Z</dcterms:created>
  <dcterms:modified xsi:type="dcterms:W3CDTF">2026-02-27T14:47:00Z</dcterms:modified>
</cp:coreProperties>
</file>